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2A717" w14:textId="6CD8CD96" w:rsidR="00222591" w:rsidRDefault="004D5391" w:rsidP="00222591">
      <w:pPr>
        <w:spacing w:after="0"/>
        <w:jc w:val="center"/>
        <w:rPr>
          <w:rFonts w:ascii="Figtree" w:hAnsi="Figtree"/>
          <w:b/>
          <w:bCs/>
          <w:color w:val="3C3F53"/>
          <w:sz w:val="28"/>
          <w:szCs w:val="28"/>
        </w:rPr>
      </w:pPr>
      <w:r w:rsidRPr="00222591">
        <w:rPr>
          <w:rFonts w:ascii="Figtree" w:hAnsi="Figtree"/>
          <w:b/>
          <w:bCs/>
          <w:color w:val="3C3F53"/>
          <w:sz w:val="28"/>
          <w:szCs w:val="28"/>
        </w:rPr>
        <w:t>Community s</w:t>
      </w:r>
      <w:r w:rsidR="00E94A4B" w:rsidRPr="00222591">
        <w:rPr>
          <w:rFonts w:ascii="Figtree" w:hAnsi="Figtree"/>
          <w:b/>
          <w:bCs/>
          <w:color w:val="3C3F53"/>
          <w:sz w:val="28"/>
          <w:szCs w:val="28"/>
        </w:rPr>
        <w:t>hared ownership</w:t>
      </w:r>
      <w:r w:rsidRPr="00222591">
        <w:rPr>
          <w:rFonts w:ascii="Figtree" w:hAnsi="Figtree"/>
          <w:b/>
          <w:bCs/>
          <w:color w:val="3C3F53"/>
          <w:sz w:val="28"/>
          <w:szCs w:val="28"/>
        </w:rPr>
        <w:t xml:space="preserve">: </w:t>
      </w:r>
      <w:r w:rsidR="00F979FF">
        <w:rPr>
          <w:rFonts w:ascii="Figtree" w:hAnsi="Figtree"/>
          <w:b/>
          <w:bCs/>
          <w:color w:val="3C3F53"/>
          <w:sz w:val="28"/>
          <w:szCs w:val="28"/>
        </w:rPr>
        <w:t>Benefits for Private Renewables Developers</w:t>
      </w:r>
    </w:p>
    <w:p w14:paraId="744F96AC" w14:textId="1BCABB0A" w:rsidR="004A70D0" w:rsidRPr="008C26F8" w:rsidRDefault="008C26F8" w:rsidP="00E52D63">
      <w:pPr>
        <w:jc w:val="center"/>
        <w:rPr>
          <w:rFonts w:ascii="Figtree" w:hAnsi="Figtree"/>
          <w:b/>
          <w:bCs/>
          <w:color w:val="347883"/>
        </w:rPr>
      </w:pPr>
      <w:r w:rsidRPr="008C26F8">
        <w:rPr>
          <w:rFonts w:ascii="Figtree" w:hAnsi="Figtree"/>
          <w:noProof/>
          <w:color w:val="347883"/>
          <w:sz w:val="21"/>
          <w:szCs w:val="21"/>
        </w:rPr>
        <mc:AlternateContent>
          <mc:Choice Requires="wps">
            <w:drawing>
              <wp:anchor distT="45720" distB="45720" distL="114300" distR="114300" simplePos="0" relativeHeight="251658240" behindDoc="0" locked="0" layoutInCell="1" allowOverlap="1" wp14:anchorId="0188E5F2" wp14:editId="0943981F">
                <wp:simplePos x="0" y="0"/>
                <wp:positionH relativeFrom="margin">
                  <wp:posOffset>-38100</wp:posOffset>
                </wp:positionH>
                <wp:positionV relativeFrom="paragraph">
                  <wp:posOffset>311785</wp:posOffset>
                </wp:positionV>
                <wp:extent cx="6667500" cy="26898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689860"/>
                        </a:xfrm>
                        <a:prstGeom prst="rect">
                          <a:avLst/>
                        </a:prstGeom>
                        <a:solidFill>
                          <a:srgbClr val="7FB79D">
                            <a:alpha val="30196"/>
                          </a:srgbClr>
                        </a:solidFill>
                        <a:ln w="19050">
                          <a:solidFill>
                            <a:srgbClr val="000000"/>
                          </a:solidFill>
                          <a:miter lim="800000"/>
                          <a:headEnd/>
                          <a:tailEnd/>
                        </a:ln>
                      </wps:spPr>
                      <wps:txbx>
                        <w:txbxContent>
                          <w:p w14:paraId="472D459B" w14:textId="13F3BCAA" w:rsidR="00EE356B" w:rsidRDefault="00EE356B" w:rsidP="006B353E">
                            <w:pPr>
                              <w:rPr>
                                <w:rFonts w:ascii="Figtree" w:hAnsi="Figtree"/>
                                <w:color w:val="3C3F53"/>
                                <w:sz w:val="21"/>
                                <w:szCs w:val="21"/>
                              </w:rPr>
                            </w:pPr>
                            <w:r>
                              <w:rPr>
                                <w:rFonts w:ascii="Figtree" w:hAnsi="Figtree"/>
                                <w:color w:val="3C3F53"/>
                                <w:sz w:val="21"/>
                                <w:szCs w:val="21"/>
                              </w:rPr>
                              <w:t xml:space="preserve">In its recent working paper, the UK Government is seeking views on potential mandatory community </w:t>
                            </w:r>
                            <w:hyperlink r:id="rId11" w:history="1">
                              <w:r w:rsidRPr="00413826">
                                <w:rPr>
                                  <w:rStyle w:val="Hyperlink"/>
                                  <w:rFonts w:ascii="Figtree" w:hAnsi="Figtree"/>
                                  <w:sz w:val="21"/>
                                  <w:szCs w:val="21"/>
                                </w:rPr>
                                <w:t>shared ownership for low carbon energy infrastructure</w:t>
                              </w:r>
                            </w:hyperlink>
                            <w:r>
                              <w:rPr>
                                <w:rFonts w:ascii="Figtree" w:hAnsi="Figtree"/>
                                <w:color w:val="3C3F53"/>
                                <w:sz w:val="21"/>
                                <w:szCs w:val="21"/>
                              </w:rPr>
                              <w:t>.</w:t>
                            </w:r>
                          </w:p>
                          <w:p w14:paraId="49B96902" w14:textId="6FAE4868" w:rsidR="00EE356B" w:rsidRDefault="00EE356B" w:rsidP="006B353E">
                            <w:pPr>
                              <w:rPr>
                                <w:rFonts w:ascii="Figtree" w:hAnsi="Figtree"/>
                                <w:color w:val="3C3F53"/>
                                <w:sz w:val="21"/>
                                <w:szCs w:val="21"/>
                              </w:rPr>
                            </w:pPr>
                            <w:r>
                              <w:rPr>
                                <w:rFonts w:ascii="Figtree" w:hAnsi="Figtree"/>
                                <w:color w:val="3C3F53"/>
                                <w:sz w:val="21"/>
                                <w:szCs w:val="21"/>
                              </w:rPr>
                              <w:t>Throughout the last decade, a small number of private developers have led the way in engaging with local communities and offering shared ownership. However, the UK still lags behind its counterparts in Europe.</w:t>
                            </w:r>
                          </w:p>
                          <w:p w14:paraId="073B101D" w14:textId="4F7C8359" w:rsidR="00EE356B" w:rsidRDefault="00EE356B" w:rsidP="006B353E">
                            <w:pPr>
                              <w:rPr>
                                <w:rFonts w:ascii="Figtree" w:hAnsi="Figtree"/>
                                <w:color w:val="3C3F53"/>
                                <w:sz w:val="21"/>
                                <w:szCs w:val="21"/>
                              </w:rPr>
                            </w:pPr>
                            <w:r>
                              <w:rPr>
                                <w:rFonts w:ascii="Figtree" w:hAnsi="Figtree"/>
                                <w:color w:val="3C3F53"/>
                                <w:sz w:val="21"/>
                                <w:szCs w:val="21"/>
                              </w:rPr>
                              <w:t>In Denmark, laws introduced in 2011 obliged developers to offer shares worth at least 20% of the total project to local communities – with first priority for residents within a 4.5km radius and then open to those further afield. Far from stifling development, this law has led to a green energy revolution: wind power rapidly replaced coal in the energy mix</w:t>
                            </w:r>
                            <w:r w:rsidR="003F2BB9">
                              <w:rPr>
                                <w:rFonts w:ascii="Figtree" w:hAnsi="Figtree"/>
                                <w:color w:val="3C3F53"/>
                                <w:sz w:val="21"/>
                                <w:szCs w:val="21"/>
                              </w:rPr>
                              <w:t>. D</w:t>
                            </w:r>
                            <w:r>
                              <w:rPr>
                                <w:rFonts w:ascii="Figtree" w:hAnsi="Figtree"/>
                                <w:color w:val="3C3F53"/>
                                <w:sz w:val="21"/>
                                <w:szCs w:val="21"/>
                              </w:rPr>
                              <w:t xml:space="preserve">evelopers now offer well above the minimum as standard and </w:t>
                            </w:r>
                            <w:hyperlink r:id="rId12" w:anchor=":~:text=In%20Denmark%20the%20focus%20is%20on%20community,67%%20when%20removing%20the%20largest%20offshore%20windfarms." w:history="1">
                              <w:r w:rsidRPr="009E5457">
                                <w:rPr>
                                  <w:rStyle w:val="Hyperlink"/>
                                  <w:rFonts w:ascii="Figtree" w:hAnsi="Figtree"/>
                                  <w:sz w:val="21"/>
                                  <w:szCs w:val="21"/>
                                </w:rPr>
                                <w:t>52% of total installed wind capacity is now citizen-owned</w:t>
                              </w:r>
                            </w:hyperlink>
                            <w:r>
                              <w:rPr>
                                <w:rStyle w:val="Hyperlink"/>
                                <w:rFonts w:ascii="Figtree" w:hAnsi="Figtree"/>
                                <w:sz w:val="21"/>
                                <w:szCs w:val="21"/>
                              </w:rPr>
                              <w:t>.</w:t>
                            </w:r>
                            <w:r>
                              <w:rPr>
                                <w:rFonts w:ascii="Figtree" w:hAnsi="Figtree"/>
                                <w:color w:val="3C3F53"/>
                                <w:sz w:val="21"/>
                                <w:szCs w:val="21"/>
                              </w:rPr>
                              <w:t xml:space="preserve"> </w:t>
                            </w:r>
                            <w:r w:rsidR="003F2BB9">
                              <w:rPr>
                                <w:rFonts w:ascii="Figtree" w:hAnsi="Figtree"/>
                                <w:color w:val="3C3F53"/>
                                <w:sz w:val="21"/>
                                <w:szCs w:val="21"/>
                              </w:rPr>
                              <w:t xml:space="preserve">Similar trends have been seen in the </w:t>
                            </w:r>
                            <w:r>
                              <w:rPr>
                                <w:rFonts w:ascii="Figtree" w:hAnsi="Figtree"/>
                                <w:color w:val="3C3F53"/>
                                <w:sz w:val="21"/>
                                <w:szCs w:val="21"/>
                              </w:rPr>
                              <w:t xml:space="preserve">Netherlands and some German states </w:t>
                            </w:r>
                            <w:r w:rsidR="003F2BB9">
                              <w:rPr>
                                <w:rFonts w:ascii="Figtree" w:hAnsi="Figtree"/>
                                <w:color w:val="3C3F53"/>
                                <w:sz w:val="21"/>
                                <w:szCs w:val="21"/>
                              </w:rPr>
                              <w:t xml:space="preserve">where </w:t>
                            </w:r>
                            <w:r>
                              <w:rPr>
                                <w:rFonts w:ascii="Figtree" w:hAnsi="Figtree"/>
                                <w:color w:val="3C3F53"/>
                                <w:sz w:val="21"/>
                                <w:szCs w:val="21"/>
                              </w:rPr>
                              <w:t>shared ownership has helped accelerate growth in the wind industry.</w:t>
                            </w:r>
                          </w:p>
                          <w:p w14:paraId="70A3B51D" w14:textId="67EBE345" w:rsidR="00EE356B" w:rsidRPr="00A25BBD" w:rsidRDefault="00EE356B" w:rsidP="006B353E">
                            <w:pPr>
                              <w:rPr>
                                <w:rFonts w:ascii="Figtree" w:hAnsi="Figtree"/>
                                <w:b/>
                                <w:bCs/>
                                <w:color w:val="3C3F53"/>
                                <w:sz w:val="21"/>
                                <w:szCs w:val="21"/>
                              </w:rPr>
                            </w:pPr>
                            <w:r>
                              <w:rPr>
                                <w:rFonts w:ascii="Figtree" w:hAnsi="Figtree"/>
                                <w:color w:val="3C3F53"/>
                                <w:sz w:val="21"/>
                                <w:szCs w:val="21"/>
                              </w:rPr>
                              <w:t xml:space="preserve">We believe that the introduction of mandatory </w:t>
                            </w:r>
                            <w:r>
                              <w:rPr>
                                <w:rFonts w:ascii="Figtree" w:hAnsi="Figtree"/>
                                <w:i/>
                                <w:iCs/>
                                <w:color w:val="3C3F53"/>
                                <w:sz w:val="21"/>
                                <w:szCs w:val="21"/>
                              </w:rPr>
                              <w:t>offers</w:t>
                            </w:r>
                            <w:r>
                              <w:rPr>
                                <w:rFonts w:ascii="Figtree" w:hAnsi="Figtree"/>
                                <w:color w:val="3C3F53"/>
                                <w:sz w:val="21"/>
                                <w:szCs w:val="21"/>
                              </w:rPr>
                              <w:t xml:space="preserve"> of shared ownership, </w:t>
                            </w:r>
                            <w:r w:rsidRPr="008218FB">
                              <w:rPr>
                                <w:rFonts w:ascii="Figtree" w:hAnsi="Figtree"/>
                                <w:i/>
                                <w:iCs/>
                                <w:color w:val="3C3F53"/>
                                <w:sz w:val="21"/>
                                <w:szCs w:val="21"/>
                              </w:rPr>
                              <w:t xml:space="preserve">alongside </w:t>
                            </w:r>
                            <w:r w:rsidR="003F2BB9">
                              <w:rPr>
                                <w:rFonts w:ascii="Figtree" w:hAnsi="Figtree"/>
                                <w:color w:val="3C3F53"/>
                                <w:sz w:val="21"/>
                                <w:szCs w:val="21"/>
                              </w:rPr>
                              <w:t xml:space="preserve">the introduction of new </w:t>
                            </w:r>
                            <w:r w:rsidRPr="008218FB">
                              <w:rPr>
                                <w:rFonts w:ascii="Figtree" w:hAnsi="Figtree"/>
                                <w:i/>
                                <w:iCs/>
                                <w:color w:val="3C3F53"/>
                                <w:sz w:val="21"/>
                                <w:szCs w:val="21"/>
                              </w:rPr>
                              <w:t>incentive mechanisms</w:t>
                            </w:r>
                            <w:r>
                              <w:rPr>
                                <w:rFonts w:ascii="Figtree" w:hAnsi="Figtree"/>
                                <w:color w:val="3C3F53"/>
                                <w:sz w:val="21"/>
                                <w:szCs w:val="21"/>
                              </w:rPr>
                              <w:t xml:space="preserve"> to support developers, would have positive benefits for developers, government and communities alike. We are seeking your feedback on, and support for, our proposals.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8E5F2" id="_x0000_t202" coordsize="21600,21600" o:spt="202" path="m,l,21600r21600,l21600,xe">
                <v:stroke joinstyle="miter"/>
                <v:path gradientshapeok="t" o:connecttype="rect"/>
              </v:shapetype>
              <v:shape id="Text Box 2" o:spid="_x0000_s1026" type="#_x0000_t202" style="position:absolute;left:0;text-align:left;margin-left:-3pt;margin-top:24.55pt;width:525pt;height:211.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" fillcolor="#7fb79d" strokeweight="1.5pt">
                <v:fill opacity="19789f"/>
                <v:textbox>
                  <w:txbxContent>
                    <w:p w14:paraId="472D459B" w14:textId="13F3BCAA" w:rsidR="00EE356B" w:rsidRDefault="00EE356B" w:rsidP="006B353E">
                      <w:pPr>
                        <w:rPr>
                          <w:rFonts w:ascii="Figtree" w:hAnsi="Figtree"/>
                          <w:color w:val="3C3F53"/>
                          <w:sz w:val="21"/>
                          <w:szCs w:val="21"/>
                        </w:rPr>
                      </w:pPr>
                      <w:r>
                        <w:rPr>
                          <w:rFonts w:ascii="Figtree" w:hAnsi="Figtree"/>
                          <w:color w:val="3C3F53"/>
                          <w:sz w:val="21"/>
                          <w:szCs w:val="21"/>
                        </w:rPr>
                        <w:t xml:space="preserve">In its recent working paper, the UK Government is seeking views on potential mandatory community </w:t>
                      </w:r>
                      <w:hyperlink r:id="rId13" w:history="1">
                        <w:r w:rsidRPr="00413826">
                          <w:rPr>
                            <w:rStyle w:val="Hyperlink"/>
                            <w:rFonts w:ascii="Figtree" w:hAnsi="Figtree"/>
                            <w:sz w:val="21"/>
                            <w:szCs w:val="21"/>
                          </w:rPr>
                          <w:t>shared ownership for low carbon energy infrastructure</w:t>
                        </w:r>
                      </w:hyperlink>
                      <w:r>
                        <w:rPr>
                          <w:rFonts w:ascii="Figtree" w:hAnsi="Figtree"/>
                          <w:color w:val="3C3F53"/>
                          <w:sz w:val="21"/>
                          <w:szCs w:val="21"/>
                        </w:rPr>
                        <w:t>.</w:t>
                      </w:r>
                    </w:p>
                    <w:p w14:paraId="49B96902" w14:textId="6FAE4868" w:rsidR="00EE356B" w:rsidRDefault="00EE356B" w:rsidP="006B353E">
                      <w:pPr>
                        <w:rPr>
                          <w:rFonts w:ascii="Figtree" w:hAnsi="Figtree"/>
                          <w:color w:val="3C3F53"/>
                          <w:sz w:val="21"/>
                          <w:szCs w:val="21"/>
                        </w:rPr>
                      </w:pPr>
                      <w:r>
                        <w:rPr>
                          <w:rFonts w:ascii="Figtree" w:hAnsi="Figtree"/>
                          <w:color w:val="3C3F53"/>
                          <w:sz w:val="21"/>
                          <w:szCs w:val="21"/>
                        </w:rPr>
                        <w:t>Throughout the last decade, a small number of private developers have led the way in engaging with local communities and offering shared ownership. However, the UK still lags behind its counterparts in Europe.</w:t>
                      </w:r>
                    </w:p>
                    <w:p w14:paraId="073B101D" w14:textId="4F7C8359" w:rsidR="00EE356B" w:rsidRDefault="00EE356B" w:rsidP="006B353E">
                      <w:pPr>
                        <w:rPr>
                          <w:rFonts w:ascii="Figtree" w:hAnsi="Figtree"/>
                          <w:color w:val="3C3F53"/>
                          <w:sz w:val="21"/>
                          <w:szCs w:val="21"/>
                        </w:rPr>
                      </w:pPr>
                      <w:r>
                        <w:rPr>
                          <w:rFonts w:ascii="Figtree" w:hAnsi="Figtree"/>
                          <w:color w:val="3C3F53"/>
                          <w:sz w:val="21"/>
                          <w:szCs w:val="21"/>
                        </w:rPr>
                        <w:t>In Denmark, laws introduced in 2011 obliged developers to offer shares worth at least 20% of the total project to local communities – with first priority for residents within a 4.5km radius and then open to those further afield. Far from stifling development, this law has led to a green energy revolution: wind power rapidly replaced coal in the energy mix</w:t>
                      </w:r>
                      <w:r w:rsidR="003F2BB9">
                        <w:rPr>
                          <w:rFonts w:ascii="Figtree" w:hAnsi="Figtree"/>
                          <w:color w:val="3C3F53"/>
                          <w:sz w:val="21"/>
                          <w:szCs w:val="21"/>
                        </w:rPr>
                        <w:t>. D</w:t>
                      </w:r>
                      <w:r>
                        <w:rPr>
                          <w:rFonts w:ascii="Figtree" w:hAnsi="Figtree"/>
                          <w:color w:val="3C3F53"/>
                          <w:sz w:val="21"/>
                          <w:szCs w:val="21"/>
                        </w:rPr>
                        <w:t xml:space="preserve">evelopers now offer well above the minimum as standard and </w:t>
                      </w:r>
                      <w:hyperlink r:id="rId14" w:anchor=":~:text=In%20Denmark%20the%20focus%20is%20on%20community,67%%20when%20removing%20the%20largest%20offshore%20windfarms." w:history="1">
                        <w:r w:rsidRPr="009E5457">
                          <w:rPr>
                            <w:rStyle w:val="Hyperlink"/>
                            <w:rFonts w:ascii="Figtree" w:hAnsi="Figtree"/>
                            <w:sz w:val="21"/>
                            <w:szCs w:val="21"/>
                          </w:rPr>
                          <w:t>52% of total installed wind capacity is now citizen-owned</w:t>
                        </w:r>
                      </w:hyperlink>
                      <w:r>
                        <w:rPr>
                          <w:rStyle w:val="Hyperlink"/>
                          <w:rFonts w:ascii="Figtree" w:hAnsi="Figtree"/>
                          <w:sz w:val="21"/>
                          <w:szCs w:val="21"/>
                        </w:rPr>
                        <w:t>.</w:t>
                      </w:r>
                      <w:r>
                        <w:rPr>
                          <w:rFonts w:ascii="Figtree" w:hAnsi="Figtree"/>
                          <w:color w:val="3C3F53"/>
                          <w:sz w:val="21"/>
                          <w:szCs w:val="21"/>
                        </w:rPr>
                        <w:t xml:space="preserve"> </w:t>
                      </w:r>
                      <w:r w:rsidR="003F2BB9">
                        <w:rPr>
                          <w:rFonts w:ascii="Figtree" w:hAnsi="Figtree"/>
                          <w:color w:val="3C3F53"/>
                          <w:sz w:val="21"/>
                          <w:szCs w:val="21"/>
                        </w:rPr>
                        <w:t xml:space="preserve">Similar trends have been seen in the </w:t>
                      </w:r>
                      <w:r>
                        <w:rPr>
                          <w:rFonts w:ascii="Figtree" w:hAnsi="Figtree"/>
                          <w:color w:val="3C3F53"/>
                          <w:sz w:val="21"/>
                          <w:szCs w:val="21"/>
                        </w:rPr>
                        <w:t xml:space="preserve">Netherlands and some German states </w:t>
                      </w:r>
                      <w:r w:rsidR="003F2BB9">
                        <w:rPr>
                          <w:rFonts w:ascii="Figtree" w:hAnsi="Figtree"/>
                          <w:color w:val="3C3F53"/>
                          <w:sz w:val="21"/>
                          <w:szCs w:val="21"/>
                        </w:rPr>
                        <w:t xml:space="preserve">where </w:t>
                      </w:r>
                      <w:r>
                        <w:rPr>
                          <w:rFonts w:ascii="Figtree" w:hAnsi="Figtree"/>
                          <w:color w:val="3C3F53"/>
                          <w:sz w:val="21"/>
                          <w:szCs w:val="21"/>
                        </w:rPr>
                        <w:t>shared ownership has helped accelerate growth in the wind industry.</w:t>
                      </w:r>
                    </w:p>
                    <w:p w14:paraId="70A3B51D" w14:textId="67EBE345" w:rsidR="00EE356B" w:rsidRPr="00A25BBD" w:rsidRDefault="00EE356B" w:rsidP="006B353E">
                      <w:pPr>
                        <w:rPr>
                          <w:rFonts w:ascii="Figtree" w:hAnsi="Figtree"/>
                          <w:b/>
                          <w:bCs/>
                          <w:color w:val="3C3F53"/>
                          <w:sz w:val="21"/>
                          <w:szCs w:val="21"/>
                        </w:rPr>
                      </w:pPr>
                      <w:r>
                        <w:rPr>
                          <w:rFonts w:ascii="Figtree" w:hAnsi="Figtree"/>
                          <w:color w:val="3C3F53"/>
                          <w:sz w:val="21"/>
                          <w:szCs w:val="21"/>
                        </w:rPr>
                        <w:t xml:space="preserve">We believe that the introduction of mandatory </w:t>
                      </w:r>
                      <w:r>
                        <w:rPr>
                          <w:rFonts w:ascii="Figtree" w:hAnsi="Figtree"/>
                          <w:i/>
                          <w:iCs/>
                          <w:color w:val="3C3F53"/>
                          <w:sz w:val="21"/>
                          <w:szCs w:val="21"/>
                        </w:rPr>
                        <w:t>offers</w:t>
                      </w:r>
                      <w:r>
                        <w:rPr>
                          <w:rFonts w:ascii="Figtree" w:hAnsi="Figtree"/>
                          <w:color w:val="3C3F53"/>
                          <w:sz w:val="21"/>
                          <w:szCs w:val="21"/>
                        </w:rPr>
                        <w:t xml:space="preserve"> of shared ownership, </w:t>
                      </w:r>
                      <w:r w:rsidRPr="008218FB">
                        <w:rPr>
                          <w:rFonts w:ascii="Figtree" w:hAnsi="Figtree"/>
                          <w:i/>
                          <w:iCs/>
                          <w:color w:val="3C3F53"/>
                          <w:sz w:val="21"/>
                          <w:szCs w:val="21"/>
                        </w:rPr>
                        <w:t xml:space="preserve">alongside </w:t>
                      </w:r>
                      <w:r w:rsidR="003F2BB9">
                        <w:rPr>
                          <w:rFonts w:ascii="Figtree" w:hAnsi="Figtree"/>
                          <w:color w:val="3C3F53"/>
                          <w:sz w:val="21"/>
                          <w:szCs w:val="21"/>
                        </w:rPr>
                        <w:t xml:space="preserve">the introduction of new </w:t>
                      </w:r>
                      <w:r w:rsidRPr="008218FB">
                        <w:rPr>
                          <w:rFonts w:ascii="Figtree" w:hAnsi="Figtree"/>
                          <w:i/>
                          <w:iCs/>
                          <w:color w:val="3C3F53"/>
                          <w:sz w:val="21"/>
                          <w:szCs w:val="21"/>
                        </w:rPr>
                        <w:t>incentive mechanisms</w:t>
                      </w:r>
                      <w:r>
                        <w:rPr>
                          <w:rFonts w:ascii="Figtree" w:hAnsi="Figtree"/>
                          <w:color w:val="3C3F53"/>
                          <w:sz w:val="21"/>
                          <w:szCs w:val="21"/>
                        </w:rPr>
                        <w:t xml:space="preserve"> to support developers, would have positive benefits for developers, government and communities alike. We are seeking your feedback on, and support for, our proposals.</w:t>
                      </w:r>
                    </w:p>
                  </w:txbxContent>
                </v:textbox>
                <w10:wrap type="square" anchorx="margin"/>
              </v:shape>
            </w:pict>
          </mc:Fallback>
        </mc:AlternateContent>
      </w:r>
      <w:r w:rsidR="008D0D7D" w:rsidRPr="008C26F8">
        <w:rPr>
          <w:rFonts w:ascii="Figtree" w:hAnsi="Figtree"/>
          <w:b/>
          <w:bCs/>
          <w:color w:val="347883"/>
        </w:rPr>
        <w:t xml:space="preserve">Why your </w:t>
      </w:r>
      <w:r w:rsidR="008D0D7D" w:rsidRPr="008C26F8" w:rsidDel="009F7C1F">
        <w:rPr>
          <w:rFonts w:ascii="Figtree" w:hAnsi="Figtree"/>
          <w:b/>
          <w:bCs/>
          <w:color w:val="347883"/>
        </w:rPr>
        <w:t xml:space="preserve">organisation </w:t>
      </w:r>
      <w:r w:rsidR="008D0D7D" w:rsidRPr="008C26F8">
        <w:rPr>
          <w:rFonts w:ascii="Figtree" w:hAnsi="Figtree"/>
          <w:b/>
          <w:bCs/>
          <w:color w:val="347883"/>
        </w:rPr>
        <w:t xml:space="preserve">should support </w:t>
      </w:r>
      <w:r w:rsidR="009D24B8" w:rsidRPr="008C26F8">
        <w:rPr>
          <w:rFonts w:ascii="Figtree" w:hAnsi="Figtree"/>
          <w:b/>
          <w:bCs/>
          <w:color w:val="347883"/>
        </w:rPr>
        <w:t xml:space="preserve">the UK Government </w:t>
      </w:r>
      <w:r w:rsidR="00AF5B9F" w:rsidRPr="008C26F8">
        <w:rPr>
          <w:rFonts w:ascii="Figtree" w:hAnsi="Figtree"/>
          <w:b/>
          <w:bCs/>
          <w:color w:val="347883"/>
        </w:rPr>
        <w:t xml:space="preserve">proposals </w:t>
      </w:r>
      <w:r w:rsidR="009D24B8" w:rsidRPr="008C26F8">
        <w:rPr>
          <w:rFonts w:ascii="Figtree" w:hAnsi="Figtree"/>
          <w:b/>
          <w:bCs/>
          <w:color w:val="347883"/>
        </w:rPr>
        <w:t>on Shared Ownership</w:t>
      </w:r>
    </w:p>
    <w:p w14:paraId="0D4C8641" w14:textId="77777777" w:rsidR="008C26F8" w:rsidRDefault="008C26F8" w:rsidP="008C26F8">
      <w:pPr>
        <w:spacing w:after="80"/>
        <w:rPr>
          <w:rFonts w:ascii="Figtree" w:hAnsi="Figtree"/>
          <w:b/>
          <w:bCs/>
          <w:color w:val="3C3F53"/>
          <w:sz w:val="21"/>
          <w:szCs w:val="21"/>
        </w:rPr>
      </w:pPr>
    </w:p>
    <w:p w14:paraId="14FB6A38" w14:textId="4B761D3D" w:rsidR="00EC63E9" w:rsidRPr="008C26F8" w:rsidRDefault="00E9428B" w:rsidP="008C26F8">
      <w:pPr>
        <w:spacing w:after="80"/>
        <w:rPr>
          <w:rFonts w:ascii="Figtree" w:hAnsi="Figtree"/>
          <w:b/>
          <w:bCs/>
          <w:color w:val="3C3F53"/>
          <w:sz w:val="21"/>
          <w:szCs w:val="21"/>
        </w:rPr>
      </w:pPr>
      <w:r w:rsidRPr="008C26F8">
        <w:rPr>
          <w:rFonts w:ascii="Figtree" w:hAnsi="Figtree"/>
          <w:b/>
          <w:bCs/>
          <w:color w:val="3C3F53"/>
          <w:sz w:val="21"/>
          <w:szCs w:val="21"/>
        </w:rPr>
        <w:t>How does shared ownership benefit developers?</w:t>
      </w:r>
    </w:p>
    <w:p w14:paraId="060831EC" w14:textId="128D0E75" w:rsidR="003F2BB9" w:rsidRPr="008C26F8" w:rsidRDefault="00E9428B" w:rsidP="00E03083">
      <w:pPr>
        <w:numPr>
          <w:ilvl w:val="0"/>
          <w:numId w:val="15"/>
        </w:numPr>
        <w:spacing w:after="0"/>
        <w:ind w:left="714" w:hanging="357"/>
        <w:rPr>
          <w:rFonts w:ascii="Figtree" w:hAnsi="Figtree"/>
          <w:b/>
          <w:bCs/>
          <w:color w:val="3C3F53"/>
          <w:sz w:val="21"/>
          <w:szCs w:val="21"/>
        </w:rPr>
      </w:pPr>
      <w:r w:rsidRPr="008C26F8">
        <w:rPr>
          <w:rFonts w:ascii="Figtree" w:hAnsi="Figtree"/>
          <w:b/>
          <w:bCs/>
          <w:color w:val="3C3F53"/>
          <w:sz w:val="21"/>
          <w:szCs w:val="21"/>
        </w:rPr>
        <w:t>Increased public support</w:t>
      </w:r>
      <w:r w:rsidR="003F2BB9" w:rsidRPr="008C26F8">
        <w:rPr>
          <w:rFonts w:ascii="Figtree" w:hAnsi="Figtree"/>
          <w:b/>
          <w:bCs/>
          <w:color w:val="3C3F53"/>
          <w:sz w:val="21"/>
          <w:szCs w:val="21"/>
        </w:rPr>
        <w:t>:</w:t>
      </w:r>
      <w:r w:rsidRPr="008C26F8">
        <w:rPr>
          <w:rFonts w:ascii="Figtree" w:hAnsi="Figtree"/>
          <w:b/>
          <w:bCs/>
          <w:color w:val="3C3F53"/>
          <w:sz w:val="21"/>
          <w:szCs w:val="21"/>
        </w:rPr>
        <w:t xml:space="preserve"> </w:t>
      </w:r>
      <w:r w:rsidRPr="008C26F8">
        <w:rPr>
          <w:rFonts w:ascii="Figtree" w:hAnsi="Figtree"/>
          <w:color w:val="3C3F53"/>
          <w:sz w:val="21"/>
          <w:szCs w:val="21"/>
        </w:rPr>
        <w:t xml:space="preserve">A level of community ownership increases public support for </w:t>
      </w:r>
      <w:r w:rsidR="003F2BB9" w:rsidRPr="008C26F8">
        <w:rPr>
          <w:rFonts w:ascii="Figtree" w:hAnsi="Figtree"/>
          <w:color w:val="3C3F53"/>
          <w:sz w:val="21"/>
          <w:szCs w:val="21"/>
        </w:rPr>
        <w:t>low car</w:t>
      </w:r>
      <w:r w:rsidR="009D3FED">
        <w:rPr>
          <w:rFonts w:ascii="Figtree" w:hAnsi="Figtree"/>
          <w:color w:val="3C3F53"/>
          <w:sz w:val="21"/>
          <w:szCs w:val="21"/>
        </w:rPr>
        <w:t>b</w:t>
      </w:r>
      <w:r w:rsidR="003F2BB9" w:rsidRPr="008C26F8">
        <w:rPr>
          <w:rFonts w:ascii="Figtree" w:hAnsi="Figtree"/>
          <w:color w:val="3C3F53"/>
          <w:sz w:val="21"/>
          <w:szCs w:val="21"/>
        </w:rPr>
        <w:t>on infrastructure projects</w:t>
      </w:r>
      <w:r w:rsidR="00FE78DE" w:rsidRPr="008C26F8">
        <w:rPr>
          <w:rFonts w:ascii="Figtree" w:hAnsi="Figtree"/>
          <w:color w:val="3C3F53"/>
          <w:sz w:val="21"/>
          <w:szCs w:val="21"/>
        </w:rPr>
        <w:t xml:space="preserve"> </w:t>
      </w:r>
      <w:hyperlink r:id="rId15" w:history="1">
        <w:r w:rsidR="00FE78DE" w:rsidRPr="008C26F8">
          <w:rPr>
            <w:rStyle w:val="Hyperlink"/>
            <w:rFonts w:ascii="Figtree" w:hAnsi="Figtree"/>
            <w:sz w:val="21"/>
            <w:szCs w:val="21"/>
          </w:rPr>
          <w:t>62% of the public would support community-owned energy in their area</w:t>
        </w:r>
      </w:hyperlink>
      <w:r w:rsidRPr="008C26F8">
        <w:rPr>
          <w:rFonts w:ascii="Figtree" w:hAnsi="Figtree"/>
          <w:color w:val="3C3F53"/>
          <w:sz w:val="21"/>
          <w:szCs w:val="21"/>
        </w:rPr>
        <w:t>, compa</w:t>
      </w:r>
      <w:r w:rsidR="00E03083" w:rsidRPr="008C26F8">
        <w:rPr>
          <w:rFonts w:ascii="Figtree" w:hAnsi="Figtree"/>
          <w:color w:val="3C3F53"/>
          <w:sz w:val="21"/>
          <w:szCs w:val="21"/>
        </w:rPr>
        <w:t>r</w:t>
      </w:r>
      <w:r w:rsidRPr="008C26F8">
        <w:rPr>
          <w:rFonts w:ascii="Figtree" w:hAnsi="Figtree"/>
          <w:color w:val="3C3F53"/>
          <w:sz w:val="21"/>
          <w:szCs w:val="21"/>
        </w:rPr>
        <w:t xml:space="preserve">ed to just 40% for fully privately-owned developments. </w:t>
      </w:r>
      <w:r w:rsidR="00FE78DE" w:rsidRPr="008C26F8">
        <w:rPr>
          <w:rFonts w:ascii="Figtree" w:hAnsi="Figtree"/>
          <w:color w:val="3C3F53"/>
          <w:sz w:val="21"/>
          <w:szCs w:val="21"/>
        </w:rPr>
        <w:t xml:space="preserve">Increased </w:t>
      </w:r>
      <w:hyperlink r:id="rId16" w:history="1">
        <w:r w:rsidR="00FE78DE" w:rsidRPr="008C26F8">
          <w:rPr>
            <w:rStyle w:val="Hyperlink"/>
            <w:rFonts w:ascii="Figtree" w:hAnsi="Figtree"/>
            <w:sz w:val="21"/>
            <w:szCs w:val="21"/>
          </w:rPr>
          <w:t>public support also translates into improved investor confidence</w:t>
        </w:r>
      </w:hyperlink>
      <w:r w:rsidR="00FE78DE" w:rsidRPr="008C26F8">
        <w:rPr>
          <w:rFonts w:ascii="Figtree" w:hAnsi="Figtree"/>
          <w:color w:val="3C3F53"/>
          <w:sz w:val="21"/>
          <w:szCs w:val="21"/>
        </w:rPr>
        <w:t xml:space="preserve"> and should lead to increased investment.</w:t>
      </w:r>
    </w:p>
    <w:p w14:paraId="54F419FE" w14:textId="496A0DEE" w:rsidR="00601059" w:rsidRPr="008C26F8" w:rsidRDefault="00EC63E9" w:rsidP="00E03083">
      <w:pPr>
        <w:pStyle w:val="ListParagraph"/>
        <w:numPr>
          <w:ilvl w:val="0"/>
          <w:numId w:val="15"/>
        </w:numPr>
        <w:spacing w:after="0"/>
        <w:ind w:left="714" w:hanging="357"/>
        <w:rPr>
          <w:rFonts w:ascii="Figtree" w:hAnsi="Figtree"/>
          <w:b/>
          <w:bCs/>
          <w:color w:val="3C3F53"/>
          <w:sz w:val="21"/>
          <w:szCs w:val="21"/>
        </w:rPr>
      </w:pPr>
      <w:r w:rsidRPr="008C26F8">
        <w:rPr>
          <w:rFonts w:ascii="Figtree" w:hAnsi="Figtree"/>
          <w:b/>
          <w:bCs/>
          <w:color w:val="3C3F53"/>
          <w:sz w:val="21"/>
          <w:szCs w:val="21"/>
        </w:rPr>
        <w:t>Access to new sources of finance</w:t>
      </w:r>
      <w:r w:rsidR="00601059" w:rsidRPr="008C26F8">
        <w:rPr>
          <w:rFonts w:ascii="Figtree" w:hAnsi="Figtree"/>
          <w:b/>
          <w:bCs/>
          <w:color w:val="3C3F53"/>
          <w:sz w:val="21"/>
          <w:szCs w:val="21"/>
        </w:rPr>
        <w:t xml:space="preserve">: </w:t>
      </w:r>
      <w:bookmarkStart w:id="0" w:name="_Hlk200441048"/>
      <w:r w:rsidRPr="008C26F8">
        <w:rPr>
          <w:rFonts w:ascii="Figtree" w:hAnsi="Figtree"/>
          <w:color w:val="3C3F53"/>
          <w:sz w:val="21"/>
          <w:szCs w:val="21"/>
        </w:rPr>
        <w:t>Community groups often have access to alternative sources of funding and finance, which they can bring to your project. These include democratic finance models (e.g. community shares and community bonds) and support from government programmes (such as the Scottish Government CARES scheme). Initial conversations with lenders such as Triodos and SNIB show willingness to fund community shared ownership stakes in larger projects</w:t>
      </w:r>
      <w:r w:rsidR="00601059" w:rsidRPr="008C26F8">
        <w:rPr>
          <w:rFonts w:ascii="Figtree" w:hAnsi="Figtree"/>
          <w:color w:val="3C3F53"/>
          <w:sz w:val="21"/>
          <w:szCs w:val="21"/>
        </w:rPr>
        <w:t>.</w:t>
      </w:r>
      <w:bookmarkEnd w:id="0"/>
    </w:p>
    <w:p w14:paraId="535E36EF" w14:textId="05BEC34B" w:rsidR="00E9428B" w:rsidRPr="008C26F8" w:rsidRDefault="00E9428B" w:rsidP="00E03083">
      <w:pPr>
        <w:numPr>
          <w:ilvl w:val="0"/>
          <w:numId w:val="15"/>
        </w:numPr>
        <w:spacing w:after="0"/>
        <w:ind w:left="714" w:hanging="357"/>
        <w:rPr>
          <w:rFonts w:ascii="Figtree" w:hAnsi="Figtree"/>
          <w:color w:val="3C3F53"/>
          <w:sz w:val="21"/>
          <w:szCs w:val="21"/>
        </w:rPr>
      </w:pPr>
      <w:r w:rsidRPr="008C26F8">
        <w:rPr>
          <w:rFonts w:ascii="Figtree" w:hAnsi="Figtree"/>
          <w:b/>
          <w:color w:val="3C3F53"/>
          <w:sz w:val="21"/>
          <w:szCs w:val="21"/>
        </w:rPr>
        <w:t>A level playing field and increased certainty for investors.</w:t>
      </w:r>
      <w:r w:rsidRPr="008C26F8">
        <w:rPr>
          <w:rFonts w:ascii="Figtree" w:hAnsi="Figtree"/>
          <w:color w:val="3C3F53"/>
          <w:sz w:val="21"/>
          <w:szCs w:val="21"/>
        </w:rPr>
        <w:t xml:space="preserve"> Scottish Renewables’ latest </w:t>
      </w:r>
      <w:hyperlink r:id="rId17" w:history="1">
        <w:r w:rsidRPr="008C26F8">
          <w:rPr>
            <w:rStyle w:val="Hyperlink"/>
            <w:rFonts w:ascii="Figtree" w:hAnsi="Figtree"/>
            <w:color w:val="3C3F53"/>
            <w:sz w:val="21"/>
            <w:szCs w:val="21"/>
          </w:rPr>
          <w:t>Supply Chain Insights report</w:t>
        </w:r>
      </w:hyperlink>
      <w:r w:rsidRPr="008C26F8">
        <w:rPr>
          <w:rFonts w:ascii="Figtree" w:hAnsi="Figtree"/>
          <w:color w:val="3C3F53"/>
          <w:sz w:val="21"/>
          <w:szCs w:val="21"/>
        </w:rPr>
        <w:t xml:space="preserve"> shows that the biggest barrier to investment is “navigating policy changes and regulatory uncertainties</w:t>
      </w:r>
      <w:r w:rsidR="00FE78DE" w:rsidRPr="008C26F8">
        <w:rPr>
          <w:rFonts w:ascii="Figtree" w:hAnsi="Figtree"/>
          <w:color w:val="3C3F53"/>
          <w:sz w:val="21"/>
          <w:szCs w:val="21"/>
        </w:rPr>
        <w:t>.</w:t>
      </w:r>
      <w:r w:rsidRPr="008C26F8">
        <w:rPr>
          <w:rFonts w:ascii="Figtree" w:hAnsi="Figtree"/>
          <w:color w:val="3C3F53"/>
          <w:sz w:val="21"/>
          <w:szCs w:val="21"/>
        </w:rPr>
        <w:t xml:space="preserve">” Making shared ownership offers mandatory for projects above a certain threshold, and setting the level of shared ownership that must be offered, would provide long-term certainty and a level playing field across the UK.  </w:t>
      </w:r>
    </w:p>
    <w:p w14:paraId="084D9F32" w14:textId="0D210538" w:rsidR="00FE78DE" w:rsidRPr="008C26F8" w:rsidRDefault="00E9428B" w:rsidP="00E03083">
      <w:pPr>
        <w:pStyle w:val="ListParagraph"/>
        <w:numPr>
          <w:ilvl w:val="0"/>
          <w:numId w:val="15"/>
        </w:numPr>
        <w:spacing w:after="0"/>
        <w:ind w:left="714" w:hanging="357"/>
        <w:rPr>
          <w:rFonts w:ascii="Figtree" w:hAnsi="Figtree"/>
          <w:b/>
          <w:color w:val="3C3F53"/>
          <w:sz w:val="21"/>
          <w:szCs w:val="21"/>
        </w:rPr>
      </w:pPr>
      <w:r w:rsidRPr="008C26F8">
        <w:rPr>
          <w:rFonts w:ascii="Figtree" w:hAnsi="Figtree"/>
          <w:b/>
          <w:color w:val="3C3F53"/>
          <w:sz w:val="21"/>
          <w:szCs w:val="21"/>
        </w:rPr>
        <w:t xml:space="preserve">Faster time in planning and higher rates of delivery. </w:t>
      </w:r>
      <w:r w:rsidR="00FE78DE" w:rsidRPr="008C26F8">
        <w:rPr>
          <w:rFonts w:ascii="Figtree" w:hAnsi="Figtree"/>
          <w:color w:val="3C3F53"/>
          <w:sz w:val="21"/>
          <w:szCs w:val="21"/>
        </w:rPr>
        <w:t>Having</w:t>
      </w:r>
      <w:r w:rsidRPr="008C26F8">
        <w:rPr>
          <w:rFonts w:ascii="Figtree" w:hAnsi="Figtree"/>
          <w:color w:val="3C3F53"/>
          <w:sz w:val="21"/>
          <w:szCs w:val="21"/>
        </w:rPr>
        <w:t xml:space="preserve"> a community group as a financial partner can </w:t>
      </w:r>
      <w:hyperlink r:id="rId18" w:history="1">
        <w:r w:rsidRPr="008C26F8">
          <w:rPr>
            <w:rStyle w:val="Hyperlink"/>
            <w:rFonts w:ascii="Figtree" w:hAnsi="Figtree"/>
            <w:sz w:val="21"/>
            <w:szCs w:val="21"/>
          </w:rPr>
          <w:t>lead to a faster development process</w:t>
        </w:r>
      </w:hyperlink>
      <w:r w:rsidRPr="008C26F8">
        <w:rPr>
          <w:rFonts w:ascii="Figtree" w:hAnsi="Figtree"/>
          <w:color w:val="3C3F53"/>
          <w:sz w:val="21"/>
          <w:szCs w:val="21"/>
        </w:rPr>
        <w:t xml:space="preserve"> by improving perception of the project, leading to less opposition and fewer legal objections, appeals and planning delays. This translates into </w:t>
      </w:r>
      <w:r w:rsidR="008C26F8" w:rsidRPr="008C26F8">
        <w:rPr>
          <w:rFonts w:ascii="Figtree" w:hAnsi="Figtree"/>
          <w:color w:val="3C3F53"/>
          <w:sz w:val="21"/>
          <w:szCs w:val="21"/>
        </w:rPr>
        <w:t xml:space="preserve">higher </w:t>
      </w:r>
      <w:r w:rsidRPr="008C26F8">
        <w:rPr>
          <w:rFonts w:ascii="Figtree" w:hAnsi="Figtree"/>
          <w:color w:val="3C3F53"/>
          <w:sz w:val="21"/>
          <w:szCs w:val="21"/>
        </w:rPr>
        <w:t>project delivery</w:t>
      </w:r>
      <w:r w:rsidR="008C26F8" w:rsidRPr="008C26F8">
        <w:rPr>
          <w:rFonts w:ascii="Figtree" w:hAnsi="Figtree"/>
          <w:color w:val="3C3F53"/>
          <w:sz w:val="21"/>
          <w:szCs w:val="21"/>
        </w:rPr>
        <w:t xml:space="preserve"> rates</w:t>
      </w:r>
      <w:r w:rsidRPr="008C26F8">
        <w:rPr>
          <w:rFonts w:ascii="Figtree" w:hAnsi="Figtree"/>
          <w:color w:val="3C3F53"/>
          <w:sz w:val="21"/>
          <w:szCs w:val="21"/>
        </w:rPr>
        <w:t xml:space="preserve">. </w:t>
      </w:r>
      <w:r w:rsidR="008C26F8" w:rsidRPr="008C26F8">
        <w:rPr>
          <w:rFonts w:ascii="Figtree" w:hAnsi="Figtree"/>
          <w:color w:val="3C3F53"/>
          <w:sz w:val="21"/>
          <w:szCs w:val="21"/>
        </w:rPr>
        <w:t>R</w:t>
      </w:r>
      <w:r w:rsidR="00FE78DE" w:rsidRPr="008C26F8">
        <w:rPr>
          <w:rFonts w:ascii="Figtree" w:hAnsi="Figtree"/>
          <w:color w:val="3C3F53"/>
          <w:sz w:val="21"/>
          <w:szCs w:val="21"/>
        </w:rPr>
        <w:t xml:space="preserve">apid expansion of wind in Denmark was </w:t>
      </w:r>
      <w:hyperlink r:id="rId19" w:history="1">
        <w:r w:rsidR="00FE78DE" w:rsidRPr="008C26F8">
          <w:rPr>
            <w:rStyle w:val="Hyperlink"/>
            <w:rFonts w:ascii="Figtree" w:hAnsi="Figtree"/>
            <w:sz w:val="21"/>
            <w:szCs w:val="21"/>
          </w:rPr>
          <w:t>driven by</w:t>
        </w:r>
        <w:r w:rsidRPr="008C26F8">
          <w:rPr>
            <w:rStyle w:val="Hyperlink"/>
            <w:rFonts w:ascii="Figtree" w:hAnsi="Figtree"/>
            <w:sz w:val="21"/>
            <w:szCs w:val="21"/>
          </w:rPr>
          <w:t xml:space="preserve"> mandatory shared ownershi</w:t>
        </w:r>
        <w:r w:rsidR="00FE78DE" w:rsidRPr="008C26F8">
          <w:rPr>
            <w:rStyle w:val="Hyperlink"/>
            <w:rFonts w:ascii="Figtree" w:hAnsi="Figtree"/>
            <w:sz w:val="21"/>
            <w:szCs w:val="21"/>
          </w:rPr>
          <w:t>p policies.</w:t>
        </w:r>
      </w:hyperlink>
      <w:r w:rsidRPr="008C26F8">
        <w:rPr>
          <w:rFonts w:ascii="Figtree" w:hAnsi="Figtree"/>
          <w:color w:val="3C3F53"/>
          <w:sz w:val="21"/>
          <w:szCs w:val="21"/>
        </w:rPr>
        <w:t xml:space="preserve"> </w:t>
      </w:r>
    </w:p>
    <w:p w14:paraId="03E53574" w14:textId="18352D21" w:rsidR="00EC63E9" w:rsidRPr="008C26F8" w:rsidRDefault="00B42FDF" w:rsidP="00E03083">
      <w:pPr>
        <w:pStyle w:val="ListParagraph"/>
        <w:numPr>
          <w:ilvl w:val="0"/>
          <w:numId w:val="15"/>
        </w:numPr>
        <w:spacing w:after="0"/>
        <w:ind w:left="714" w:hanging="357"/>
        <w:rPr>
          <w:rFonts w:ascii="Figtree" w:hAnsi="Figtree"/>
          <w:b/>
          <w:sz w:val="21"/>
          <w:szCs w:val="21"/>
        </w:rPr>
      </w:pPr>
      <w:r w:rsidRPr="008C26F8">
        <w:rPr>
          <w:rFonts w:ascii="Figtree" w:hAnsi="Figtree"/>
          <w:b/>
          <w:bCs/>
          <w:color w:val="3C3F53"/>
          <w:sz w:val="21"/>
          <w:szCs w:val="21"/>
        </w:rPr>
        <w:t>Incentive mechanisms</w:t>
      </w:r>
      <w:r w:rsidR="00FE78DE" w:rsidRPr="008C26F8">
        <w:rPr>
          <w:rFonts w:ascii="Figtree" w:hAnsi="Figtree"/>
          <w:b/>
          <w:bCs/>
          <w:color w:val="3C3F53"/>
          <w:sz w:val="21"/>
          <w:szCs w:val="21"/>
        </w:rPr>
        <w:t xml:space="preserve"> for developers</w:t>
      </w:r>
      <w:r w:rsidRPr="008C26F8">
        <w:rPr>
          <w:rFonts w:ascii="Figtree" w:hAnsi="Figtree"/>
          <w:color w:val="3C3F53"/>
          <w:sz w:val="21"/>
          <w:szCs w:val="21"/>
        </w:rPr>
        <w:t xml:space="preserve"> – some </w:t>
      </w:r>
      <w:r w:rsidR="00FE78DE" w:rsidRPr="008C26F8">
        <w:rPr>
          <w:rFonts w:ascii="Figtree" w:hAnsi="Figtree"/>
          <w:color w:val="3C3F53"/>
          <w:sz w:val="21"/>
          <w:szCs w:val="21"/>
        </w:rPr>
        <w:t>incentives</w:t>
      </w:r>
      <w:r w:rsidRPr="008C26F8">
        <w:rPr>
          <w:rFonts w:ascii="Figtree" w:hAnsi="Figtree"/>
          <w:color w:val="3C3F53"/>
          <w:sz w:val="21"/>
          <w:szCs w:val="21"/>
        </w:rPr>
        <w:t xml:space="preserve"> </w:t>
      </w:r>
      <w:r w:rsidR="005378D0" w:rsidRPr="008C26F8">
        <w:rPr>
          <w:rFonts w:ascii="Figtree" w:hAnsi="Figtree"/>
          <w:color w:val="3C3F53"/>
          <w:sz w:val="21"/>
          <w:szCs w:val="21"/>
        </w:rPr>
        <w:t>already exist to encourage shared ownership, such as</w:t>
      </w:r>
      <w:hyperlink r:id="rId20" w:history="1">
        <w:r w:rsidR="0061472D" w:rsidRPr="008C26F8">
          <w:rPr>
            <w:rStyle w:val="Hyperlink"/>
            <w:rFonts w:ascii="Figtree" w:hAnsi="Figtree"/>
            <w:sz w:val="21"/>
            <w:szCs w:val="21"/>
          </w:rPr>
          <w:t xml:space="preserve"> non-domestic rates relief</w:t>
        </w:r>
      </w:hyperlink>
      <w:r w:rsidR="0061472D" w:rsidRPr="008C26F8">
        <w:rPr>
          <w:rFonts w:ascii="Figtree" w:hAnsi="Figtree"/>
          <w:color w:val="3C3F53"/>
          <w:sz w:val="21"/>
          <w:szCs w:val="21"/>
        </w:rPr>
        <w:t xml:space="preserve"> </w:t>
      </w:r>
      <w:r w:rsidR="0086779B" w:rsidRPr="008C26F8">
        <w:rPr>
          <w:rFonts w:ascii="Figtree" w:hAnsi="Figtree"/>
          <w:color w:val="3C3F53"/>
          <w:sz w:val="21"/>
          <w:szCs w:val="21"/>
        </w:rPr>
        <w:t>for renewable energy</w:t>
      </w:r>
      <w:r w:rsidR="00447B3B" w:rsidRPr="008C26F8">
        <w:rPr>
          <w:rFonts w:ascii="Figtree" w:hAnsi="Figtree"/>
          <w:color w:val="3C3F53"/>
          <w:sz w:val="21"/>
          <w:szCs w:val="21"/>
        </w:rPr>
        <w:t xml:space="preserve"> generation</w:t>
      </w:r>
      <w:r w:rsidR="0086779B" w:rsidRPr="008C26F8">
        <w:rPr>
          <w:rFonts w:ascii="Figtree" w:hAnsi="Figtree"/>
          <w:color w:val="3C3F53"/>
          <w:sz w:val="21"/>
          <w:szCs w:val="21"/>
        </w:rPr>
        <w:t xml:space="preserve"> schemes </w:t>
      </w:r>
      <w:r w:rsidR="0061472D" w:rsidRPr="008C26F8">
        <w:rPr>
          <w:rFonts w:ascii="Figtree" w:hAnsi="Figtree"/>
          <w:color w:val="3C3F53"/>
          <w:sz w:val="21"/>
          <w:szCs w:val="21"/>
        </w:rPr>
        <w:t>in Scotland</w:t>
      </w:r>
      <w:r w:rsidR="00F926ED" w:rsidRPr="008C26F8">
        <w:rPr>
          <w:rFonts w:ascii="Figtree" w:hAnsi="Figtree"/>
          <w:color w:val="3C3F53"/>
          <w:sz w:val="21"/>
          <w:szCs w:val="21"/>
        </w:rPr>
        <w:t>.</w:t>
      </w:r>
      <w:r w:rsidR="00EE356B" w:rsidRPr="008C26F8">
        <w:rPr>
          <w:rFonts w:ascii="Figtree" w:hAnsi="Figtree"/>
          <w:color w:val="3C3F53"/>
          <w:sz w:val="21"/>
          <w:szCs w:val="21"/>
        </w:rPr>
        <w:t xml:space="preserve"> </w:t>
      </w:r>
      <w:r w:rsidR="00FE78DE" w:rsidRPr="008C26F8">
        <w:rPr>
          <w:rFonts w:ascii="Figtree" w:hAnsi="Figtree"/>
          <w:color w:val="3C3F53"/>
          <w:sz w:val="21"/>
          <w:szCs w:val="21"/>
        </w:rPr>
        <w:t xml:space="preserve">It is our belief that more incentives should be introduced in parallel with the UK Government’s proposals to make shared ownership mandatory, if it is to work for everyone. </w:t>
      </w:r>
    </w:p>
    <w:p w14:paraId="388DE098" w14:textId="0D0DC11B" w:rsidR="00E03083" w:rsidRPr="008C26F8" w:rsidRDefault="00E03083" w:rsidP="00204A4E">
      <w:pPr>
        <w:pStyle w:val="ListParagraph"/>
        <w:numPr>
          <w:ilvl w:val="0"/>
          <w:numId w:val="15"/>
        </w:numPr>
        <w:spacing w:after="0"/>
        <w:ind w:left="714" w:hanging="357"/>
        <w:rPr>
          <w:rFonts w:ascii="Figtree" w:hAnsi="Figtree"/>
          <w:color w:val="3C3F53"/>
          <w:sz w:val="21"/>
          <w:szCs w:val="21"/>
        </w:rPr>
      </w:pPr>
      <w:r w:rsidRPr="008C26F8">
        <w:rPr>
          <w:rFonts w:ascii="Figtree" w:hAnsi="Figtree"/>
          <w:b/>
          <w:bCs/>
          <w:color w:val="3C3F53"/>
          <w:sz w:val="21"/>
          <w:szCs w:val="21"/>
        </w:rPr>
        <w:t>Brand perception</w:t>
      </w:r>
      <w:r w:rsidR="00447B3B" w:rsidRPr="008C26F8">
        <w:rPr>
          <w:rFonts w:ascii="Figtree" w:hAnsi="Figtree"/>
          <w:color w:val="3C3F53"/>
          <w:sz w:val="21"/>
          <w:szCs w:val="21"/>
        </w:rPr>
        <w:t xml:space="preserve">: </w:t>
      </w:r>
      <w:r w:rsidR="003432AA" w:rsidRPr="008C26F8">
        <w:rPr>
          <w:rFonts w:ascii="Figtree" w:hAnsi="Figtree"/>
          <w:color w:val="3C3F53"/>
          <w:sz w:val="21"/>
          <w:szCs w:val="21"/>
        </w:rPr>
        <w:t>having a positive impact on communities is good for public perception of your organisation</w:t>
      </w:r>
      <w:r w:rsidRPr="008C26F8">
        <w:rPr>
          <w:rFonts w:ascii="Figtree" w:hAnsi="Figtree"/>
          <w:color w:val="3C3F53"/>
          <w:sz w:val="21"/>
          <w:szCs w:val="21"/>
        </w:rPr>
        <w:t>,</w:t>
      </w:r>
      <w:r w:rsidR="003432AA" w:rsidRPr="008C26F8">
        <w:rPr>
          <w:rFonts w:ascii="Figtree" w:hAnsi="Figtree"/>
          <w:color w:val="3C3F53"/>
          <w:sz w:val="21"/>
          <w:szCs w:val="21"/>
        </w:rPr>
        <w:t xml:space="preserve"> aligns with Corporate Social Responsibility priorities and</w:t>
      </w:r>
      <w:r w:rsidR="00E2322D" w:rsidRPr="008C26F8">
        <w:rPr>
          <w:rFonts w:ascii="Figtree" w:hAnsi="Figtree"/>
          <w:color w:val="3C3F53"/>
          <w:sz w:val="21"/>
          <w:szCs w:val="21"/>
        </w:rPr>
        <w:t xml:space="preserve"> helps your organisation to meet</w:t>
      </w:r>
      <w:r w:rsidRPr="008C26F8">
        <w:rPr>
          <w:rFonts w:ascii="Figtree" w:hAnsi="Figtree"/>
          <w:color w:val="3C3F53"/>
          <w:sz w:val="21"/>
          <w:szCs w:val="21"/>
        </w:rPr>
        <w:t xml:space="preserve"> and/or exceed existing good practice guidelines. </w:t>
      </w:r>
    </w:p>
    <w:p w14:paraId="3A60E780" w14:textId="77777777" w:rsidR="008C26F8" w:rsidRPr="008C26F8" w:rsidRDefault="008C26F8" w:rsidP="008C26F8">
      <w:pPr>
        <w:pStyle w:val="ListParagraph"/>
        <w:spacing w:after="0"/>
        <w:ind w:left="714"/>
        <w:rPr>
          <w:rFonts w:ascii="Figtree" w:hAnsi="Figtree"/>
          <w:color w:val="3C3F53"/>
          <w:sz w:val="21"/>
          <w:szCs w:val="21"/>
        </w:rPr>
      </w:pPr>
    </w:p>
    <w:p w14:paraId="1902812A" w14:textId="0F7FE556" w:rsidR="00C75867" w:rsidRPr="008C26F8" w:rsidRDefault="00C75867" w:rsidP="00204A4E">
      <w:pPr>
        <w:rPr>
          <w:rFonts w:ascii="Figtree" w:hAnsi="Figtree"/>
          <w:b/>
          <w:bCs/>
          <w:color w:val="3C3F53"/>
          <w:sz w:val="21"/>
          <w:szCs w:val="21"/>
        </w:rPr>
      </w:pPr>
      <w:r w:rsidRPr="008C26F8">
        <w:rPr>
          <w:rFonts w:ascii="Figtree" w:hAnsi="Figtree"/>
          <w:b/>
          <w:bCs/>
          <w:color w:val="3C3F53"/>
          <w:sz w:val="21"/>
          <w:szCs w:val="21"/>
        </w:rPr>
        <w:t>Our proposals</w:t>
      </w:r>
    </w:p>
    <w:p w14:paraId="2C1713BD" w14:textId="341E3D8C" w:rsidR="00E03083" w:rsidRPr="008C26F8" w:rsidRDefault="00E465D0" w:rsidP="00E03083">
      <w:pPr>
        <w:rPr>
          <w:rFonts w:ascii="Figtree" w:hAnsi="Figtree"/>
          <w:color w:val="3C3F53"/>
          <w:sz w:val="21"/>
          <w:szCs w:val="21"/>
        </w:rPr>
      </w:pPr>
      <w:r w:rsidRPr="008C26F8">
        <w:rPr>
          <w:rFonts w:ascii="Figtree" w:hAnsi="Figtree"/>
          <w:color w:val="3C3F53"/>
          <w:sz w:val="21"/>
          <w:szCs w:val="21"/>
        </w:rPr>
        <w:t>Below we have outlined three key proposals that we believe are key to unlocking shared ownership in a way that meets government targets and benefits the private sector and communities alike.</w:t>
      </w:r>
      <w:r w:rsidR="00C75867" w:rsidRPr="008C26F8">
        <w:rPr>
          <w:rFonts w:ascii="Figtree" w:hAnsi="Figtree"/>
          <w:color w:val="3C3F53"/>
          <w:sz w:val="21"/>
          <w:szCs w:val="21"/>
        </w:rPr>
        <w:t xml:space="preserve"> </w:t>
      </w:r>
    </w:p>
    <w:p w14:paraId="5DCCC65B" w14:textId="4C369FF1" w:rsidR="00AB60E5" w:rsidRPr="008C26F8" w:rsidRDefault="00272373" w:rsidP="00204A4E">
      <w:pPr>
        <w:rPr>
          <w:rFonts w:ascii="Figtree" w:hAnsi="Figtree"/>
          <w:b/>
          <w:bCs/>
          <w:color w:val="3C3F53"/>
          <w:sz w:val="21"/>
          <w:szCs w:val="21"/>
        </w:rPr>
      </w:pPr>
      <w:r w:rsidRPr="008C26F8">
        <w:rPr>
          <w:rFonts w:ascii="Figtree" w:hAnsi="Figtree"/>
          <w:b/>
          <w:bCs/>
          <w:color w:val="3C3F53"/>
          <w:sz w:val="21"/>
          <w:szCs w:val="21"/>
        </w:rPr>
        <w:lastRenderedPageBreak/>
        <w:t xml:space="preserve">Proposal 1: </w:t>
      </w:r>
      <w:r w:rsidR="001B4FF1" w:rsidRPr="008C26F8">
        <w:rPr>
          <w:rFonts w:ascii="Figtree" w:hAnsi="Figtree"/>
          <w:b/>
          <w:bCs/>
          <w:color w:val="3C3F53"/>
          <w:sz w:val="21"/>
          <w:szCs w:val="21"/>
        </w:rPr>
        <w:t>Offers of s</w:t>
      </w:r>
      <w:r w:rsidRPr="008C26F8">
        <w:rPr>
          <w:rFonts w:ascii="Figtree" w:hAnsi="Figtree"/>
          <w:b/>
          <w:bCs/>
          <w:color w:val="3C3F53"/>
          <w:sz w:val="21"/>
          <w:szCs w:val="21"/>
        </w:rPr>
        <w:t>hared ownership should be mandatory</w:t>
      </w:r>
    </w:p>
    <w:p w14:paraId="5B0D6B17" w14:textId="36668636" w:rsidR="00AB60E5" w:rsidRPr="008C26F8" w:rsidRDefault="00AB60E5" w:rsidP="00204A4E">
      <w:pPr>
        <w:rPr>
          <w:rFonts w:ascii="Figtree" w:hAnsi="Figtree"/>
          <w:color w:val="3C3F53"/>
          <w:sz w:val="21"/>
          <w:szCs w:val="21"/>
        </w:rPr>
      </w:pPr>
      <w:r w:rsidRPr="008C26F8">
        <w:rPr>
          <w:rFonts w:ascii="Figtree" w:hAnsi="Figtree"/>
          <w:color w:val="3C3F53"/>
          <w:sz w:val="21"/>
          <w:szCs w:val="21"/>
        </w:rPr>
        <w:t xml:space="preserve">Experience across all the nations in the UK has shown that </w:t>
      </w:r>
      <w:r w:rsidR="00303F55" w:rsidRPr="008C26F8">
        <w:rPr>
          <w:rFonts w:ascii="Figtree" w:hAnsi="Figtree"/>
          <w:color w:val="3C3F53"/>
          <w:sz w:val="21"/>
          <w:szCs w:val="21"/>
        </w:rPr>
        <w:t>good practice guidance has simply not led shared ownership being common practice. In Scotland, despite the fact that the Scottish Government has had community shared ownership of private renewable energy as part of its ambition since 2014, and has published Good Practice Principles for Shared Ownership of Onshore Renewable Energy Developments, to date only 0.2% of Scotland’s current wind power is owned by communities through a shared ownership arrangement.</w:t>
      </w:r>
    </w:p>
    <w:p w14:paraId="7466432F" w14:textId="6506994E" w:rsidR="00CB1F55" w:rsidRPr="008C26F8" w:rsidRDefault="00CB1F55" w:rsidP="00CB1F55">
      <w:pPr>
        <w:rPr>
          <w:rFonts w:ascii="Figtree" w:hAnsi="Figtree"/>
          <w:color w:val="3C3F53"/>
          <w:sz w:val="21"/>
          <w:szCs w:val="21"/>
        </w:rPr>
      </w:pPr>
      <w:r w:rsidRPr="008C26F8">
        <w:rPr>
          <w:rFonts w:ascii="Figtree" w:hAnsi="Figtree"/>
          <w:color w:val="3C3F53"/>
          <w:sz w:val="21"/>
          <w:szCs w:val="21"/>
        </w:rPr>
        <w:t xml:space="preserve">We believe that the UK Government should use its existing powers under the 2015 Infrastructure Act </w:t>
      </w:r>
      <w:r w:rsidR="004F23B1" w:rsidRPr="008C26F8">
        <w:rPr>
          <w:rFonts w:ascii="Figtree" w:hAnsi="Figtree"/>
          <w:color w:val="3C3F53"/>
          <w:sz w:val="21"/>
          <w:szCs w:val="21"/>
        </w:rPr>
        <w:t xml:space="preserve">to make it mandatory for developers </w:t>
      </w:r>
      <w:r w:rsidR="001B4FF1" w:rsidRPr="008C26F8">
        <w:rPr>
          <w:rFonts w:ascii="Figtree" w:hAnsi="Figtree"/>
          <w:color w:val="3C3F53"/>
          <w:sz w:val="21"/>
          <w:szCs w:val="21"/>
        </w:rPr>
        <w:t xml:space="preserve">of projects over the threshold of 5MW </w:t>
      </w:r>
      <w:r w:rsidR="004F23B1" w:rsidRPr="008C26F8">
        <w:rPr>
          <w:rFonts w:ascii="Figtree" w:hAnsi="Figtree"/>
          <w:color w:val="3C3F53"/>
          <w:sz w:val="21"/>
          <w:szCs w:val="21"/>
        </w:rPr>
        <w:t>to offer at least 20% shared ownership to community energy groups</w:t>
      </w:r>
      <w:r w:rsidRPr="008C26F8">
        <w:rPr>
          <w:rFonts w:ascii="Figtree" w:hAnsi="Figtree"/>
          <w:color w:val="3C3F53"/>
          <w:sz w:val="21"/>
          <w:szCs w:val="21"/>
        </w:rPr>
        <w:t xml:space="preserve"> in all new onshore and offshore </w:t>
      </w:r>
      <w:r w:rsidR="004F23B1" w:rsidRPr="008C26F8">
        <w:rPr>
          <w:rFonts w:ascii="Figtree" w:hAnsi="Figtree"/>
          <w:color w:val="3C3F53"/>
          <w:sz w:val="21"/>
          <w:szCs w:val="21"/>
        </w:rPr>
        <w:t>low carbon infrastructure</w:t>
      </w:r>
      <w:r w:rsidRPr="008C26F8">
        <w:rPr>
          <w:rFonts w:ascii="Figtree" w:hAnsi="Figtree"/>
          <w:color w:val="3C3F53"/>
          <w:sz w:val="21"/>
          <w:szCs w:val="21"/>
        </w:rPr>
        <w:t xml:space="preserve"> projects and any existing </w:t>
      </w:r>
      <w:r w:rsidR="00403509" w:rsidRPr="008C26F8">
        <w:rPr>
          <w:rFonts w:ascii="Figtree" w:hAnsi="Figtree"/>
          <w:color w:val="3C3F53"/>
          <w:sz w:val="21"/>
          <w:szCs w:val="21"/>
        </w:rPr>
        <w:t xml:space="preserve">project </w:t>
      </w:r>
      <w:r w:rsidRPr="008C26F8">
        <w:rPr>
          <w:rFonts w:ascii="Figtree" w:hAnsi="Figtree"/>
          <w:color w:val="3C3F53"/>
          <w:sz w:val="21"/>
          <w:szCs w:val="21"/>
        </w:rPr>
        <w:t xml:space="preserve">whose planning consent is being amended or renewed. </w:t>
      </w:r>
      <w:r w:rsidR="006B02E5" w:rsidRPr="008C26F8">
        <w:rPr>
          <w:rFonts w:ascii="Figtree" w:hAnsi="Figtree"/>
          <w:color w:val="3C3F53"/>
          <w:sz w:val="21"/>
          <w:szCs w:val="21"/>
        </w:rPr>
        <w:t>This would level the playing field for developers, allowing you to build financial models</w:t>
      </w:r>
      <w:r w:rsidR="00FA0F91" w:rsidRPr="008C26F8">
        <w:rPr>
          <w:rFonts w:ascii="Figtree" w:hAnsi="Figtree"/>
          <w:color w:val="3C3F53"/>
          <w:sz w:val="21"/>
          <w:szCs w:val="21"/>
        </w:rPr>
        <w:t xml:space="preserve"> without uncertainty or need for internal and external negotiations.</w:t>
      </w:r>
    </w:p>
    <w:p w14:paraId="0062E108" w14:textId="6B48F07A" w:rsidR="002555BB" w:rsidRPr="008C26F8" w:rsidRDefault="00272373" w:rsidP="00CB1F55">
      <w:pPr>
        <w:rPr>
          <w:rFonts w:ascii="Figtree" w:hAnsi="Figtree"/>
          <w:b/>
          <w:bCs/>
          <w:color w:val="3C3F53"/>
          <w:sz w:val="21"/>
          <w:szCs w:val="21"/>
        </w:rPr>
      </w:pPr>
      <w:r w:rsidRPr="008C26F8">
        <w:rPr>
          <w:rFonts w:ascii="Figtree" w:hAnsi="Figtree"/>
          <w:b/>
          <w:bCs/>
          <w:color w:val="3C3F53"/>
          <w:sz w:val="21"/>
          <w:szCs w:val="21"/>
        </w:rPr>
        <w:t xml:space="preserve">Proposal 2: </w:t>
      </w:r>
      <w:r w:rsidR="00EC63E9" w:rsidRPr="008C26F8">
        <w:rPr>
          <w:rFonts w:ascii="Figtree" w:hAnsi="Figtree"/>
          <w:b/>
          <w:bCs/>
          <w:color w:val="3C3F53"/>
          <w:sz w:val="21"/>
          <w:szCs w:val="21"/>
        </w:rPr>
        <w:t>E</w:t>
      </w:r>
      <w:r w:rsidRPr="008C26F8">
        <w:rPr>
          <w:rFonts w:ascii="Figtree" w:hAnsi="Figtree"/>
          <w:b/>
          <w:bCs/>
          <w:color w:val="3C3F53"/>
          <w:sz w:val="21"/>
          <w:szCs w:val="21"/>
        </w:rPr>
        <w:t>arly stage government-backed loans for communities</w:t>
      </w:r>
    </w:p>
    <w:p w14:paraId="47475B56" w14:textId="2B29A602" w:rsidR="002555BB" w:rsidRPr="008C26F8" w:rsidRDefault="001C3F19" w:rsidP="002555BB">
      <w:pPr>
        <w:rPr>
          <w:rFonts w:ascii="Figtree" w:hAnsi="Figtree"/>
          <w:color w:val="3C3F53"/>
          <w:sz w:val="21"/>
          <w:szCs w:val="21"/>
        </w:rPr>
      </w:pPr>
      <w:r w:rsidRPr="008C26F8">
        <w:rPr>
          <w:rFonts w:ascii="Figtree" w:hAnsi="Figtree"/>
          <w:color w:val="3C3F53"/>
          <w:sz w:val="21"/>
          <w:szCs w:val="21"/>
        </w:rPr>
        <w:t xml:space="preserve">If </w:t>
      </w:r>
      <w:r w:rsidR="00403509" w:rsidRPr="008C26F8">
        <w:rPr>
          <w:rFonts w:ascii="Figtree" w:hAnsi="Figtree"/>
          <w:color w:val="3C3F53"/>
          <w:sz w:val="21"/>
          <w:szCs w:val="21"/>
        </w:rPr>
        <w:t xml:space="preserve">offers of </w:t>
      </w:r>
      <w:r w:rsidRPr="008C26F8">
        <w:rPr>
          <w:rFonts w:ascii="Figtree" w:hAnsi="Figtree"/>
          <w:color w:val="3C3F53"/>
          <w:sz w:val="21"/>
          <w:szCs w:val="21"/>
        </w:rPr>
        <w:t xml:space="preserve">shared ownership </w:t>
      </w:r>
      <w:r w:rsidR="00403509" w:rsidRPr="008C26F8">
        <w:rPr>
          <w:rFonts w:ascii="Figtree" w:hAnsi="Figtree"/>
          <w:color w:val="3C3F53"/>
          <w:sz w:val="21"/>
          <w:szCs w:val="21"/>
        </w:rPr>
        <w:t xml:space="preserve">are </w:t>
      </w:r>
      <w:r w:rsidRPr="008C26F8">
        <w:rPr>
          <w:rFonts w:ascii="Figtree" w:hAnsi="Figtree"/>
          <w:color w:val="3C3F53"/>
          <w:sz w:val="21"/>
          <w:szCs w:val="21"/>
        </w:rPr>
        <w:t xml:space="preserve">mandatory, then appropriate support must be </w:t>
      </w:r>
      <w:r w:rsidR="008C26F8" w:rsidRPr="008C26F8">
        <w:rPr>
          <w:rFonts w:ascii="Figtree" w:hAnsi="Figtree"/>
          <w:color w:val="3C3F53"/>
          <w:sz w:val="21"/>
          <w:szCs w:val="21"/>
        </w:rPr>
        <w:t>provided</w:t>
      </w:r>
      <w:r w:rsidRPr="008C26F8">
        <w:rPr>
          <w:rFonts w:ascii="Figtree" w:hAnsi="Figtree"/>
          <w:color w:val="3C3F53"/>
          <w:sz w:val="21"/>
          <w:szCs w:val="21"/>
        </w:rPr>
        <w:t xml:space="preserve"> to ensure that shared ownership negotiations </w:t>
      </w:r>
      <w:r w:rsidR="00821BD0" w:rsidRPr="008C26F8">
        <w:rPr>
          <w:rFonts w:ascii="Figtree" w:hAnsi="Figtree"/>
          <w:color w:val="3C3F53"/>
          <w:sz w:val="21"/>
          <w:szCs w:val="21"/>
        </w:rPr>
        <w:t xml:space="preserve">do not </w:t>
      </w:r>
      <w:r w:rsidR="000A62EA" w:rsidRPr="008C26F8">
        <w:rPr>
          <w:rFonts w:ascii="Figtree" w:hAnsi="Figtree"/>
          <w:color w:val="3C3F53"/>
          <w:sz w:val="21"/>
          <w:szCs w:val="21"/>
        </w:rPr>
        <w:t>cause any delays. We therefore propose that</w:t>
      </w:r>
      <w:r w:rsidR="00AA5A75" w:rsidRPr="008C26F8">
        <w:rPr>
          <w:rFonts w:ascii="Figtree" w:hAnsi="Figtree"/>
          <w:color w:val="3C3F53"/>
          <w:sz w:val="21"/>
          <w:szCs w:val="21"/>
        </w:rPr>
        <w:t xml:space="preserve"> GB Energy </w:t>
      </w:r>
      <w:r w:rsidR="00416208" w:rsidRPr="008C26F8">
        <w:rPr>
          <w:rFonts w:ascii="Figtree" w:hAnsi="Figtree"/>
          <w:color w:val="3C3F53"/>
          <w:sz w:val="21"/>
          <w:szCs w:val="21"/>
        </w:rPr>
        <w:t>provides upfront finance to secure</w:t>
      </w:r>
      <w:r w:rsidR="00AA5A75" w:rsidRPr="008C26F8">
        <w:rPr>
          <w:rFonts w:ascii="Figtree" w:hAnsi="Figtree"/>
          <w:color w:val="3C3F53"/>
          <w:sz w:val="21"/>
          <w:szCs w:val="21"/>
        </w:rPr>
        <w:t xml:space="preserve"> 20% of all private developments at cost</w:t>
      </w:r>
      <w:r w:rsidR="000A62EA" w:rsidRPr="008C26F8">
        <w:rPr>
          <w:rFonts w:ascii="Figtree" w:hAnsi="Figtree"/>
          <w:color w:val="3C3F53"/>
          <w:sz w:val="21"/>
          <w:szCs w:val="21"/>
        </w:rPr>
        <w:t xml:space="preserve"> </w:t>
      </w:r>
      <w:r w:rsidR="00DE35B2" w:rsidRPr="008C26F8">
        <w:rPr>
          <w:rFonts w:ascii="Figtree" w:hAnsi="Figtree"/>
          <w:color w:val="3C3F53"/>
          <w:sz w:val="21"/>
          <w:szCs w:val="21"/>
        </w:rPr>
        <w:t>at pre-construction or construction stage</w:t>
      </w:r>
      <w:r w:rsidR="00416208" w:rsidRPr="008C26F8">
        <w:rPr>
          <w:rFonts w:ascii="Figtree" w:hAnsi="Figtree"/>
          <w:color w:val="3C3F53"/>
          <w:sz w:val="21"/>
          <w:szCs w:val="21"/>
        </w:rPr>
        <w:t xml:space="preserve"> on behalf of communities. </w:t>
      </w:r>
      <w:r w:rsidR="002555BB" w:rsidRPr="008C26F8">
        <w:rPr>
          <w:rFonts w:ascii="Figtree" w:hAnsi="Figtree"/>
          <w:color w:val="3C3F53"/>
          <w:sz w:val="21"/>
          <w:szCs w:val="21"/>
        </w:rPr>
        <w:t>Alongside this, with support of community energy umbrella organisation</w:t>
      </w:r>
      <w:r w:rsidR="00023335" w:rsidRPr="008C26F8">
        <w:rPr>
          <w:rFonts w:ascii="Figtree" w:hAnsi="Figtree"/>
          <w:color w:val="3C3F53"/>
          <w:sz w:val="21"/>
          <w:szCs w:val="21"/>
        </w:rPr>
        <w:t>s</w:t>
      </w:r>
      <w:r w:rsidR="002555BB" w:rsidRPr="008C26F8">
        <w:rPr>
          <w:rFonts w:ascii="Figtree" w:hAnsi="Figtree"/>
          <w:color w:val="3C3F53"/>
          <w:sz w:val="21"/>
          <w:szCs w:val="21"/>
        </w:rPr>
        <w:t xml:space="preserve">, separate activities can focus on capacity building of community organisations and securing agreements </w:t>
      </w:r>
      <w:r w:rsidR="00FF68C5" w:rsidRPr="008C26F8">
        <w:rPr>
          <w:rFonts w:ascii="Figtree" w:hAnsi="Figtree"/>
          <w:color w:val="3C3F53"/>
          <w:sz w:val="21"/>
          <w:szCs w:val="21"/>
        </w:rPr>
        <w:t>between them and the developer</w:t>
      </w:r>
      <w:r w:rsidR="002555BB" w:rsidRPr="008C26F8">
        <w:rPr>
          <w:rFonts w:ascii="Figtree" w:hAnsi="Figtree"/>
          <w:color w:val="3C3F53"/>
          <w:sz w:val="21"/>
          <w:szCs w:val="21"/>
        </w:rPr>
        <w:t xml:space="preserve"> to allocate the full 20% stake across </w:t>
      </w:r>
      <w:r w:rsidR="00FF68C5" w:rsidRPr="008C26F8">
        <w:rPr>
          <w:rFonts w:ascii="Figtree" w:hAnsi="Figtree"/>
          <w:color w:val="3C3F53"/>
          <w:sz w:val="21"/>
          <w:szCs w:val="21"/>
        </w:rPr>
        <w:t xml:space="preserve">one or </w:t>
      </w:r>
      <w:r w:rsidR="002555BB" w:rsidRPr="008C26F8">
        <w:rPr>
          <w:rFonts w:ascii="Figtree" w:hAnsi="Figtree"/>
          <w:color w:val="3C3F53"/>
          <w:sz w:val="21"/>
          <w:szCs w:val="21"/>
        </w:rPr>
        <w:t xml:space="preserve">a number of groups. At this point, the investment made by GB Energy would be transformed into loan agreements with the respective community groups, who would pay back the loans at an affordable rate into a revolving GB Energy fund, to be reinvested in future projects. </w:t>
      </w:r>
    </w:p>
    <w:p w14:paraId="21F9287E" w14:textId="790EF67E" w:rsidR="006F7B91" w:rsidRPr="008C26F8" w:rsidRDefault="002555BB" w:rsidP="00474DB3">
      <w:pPr>
        <w:rPr>
          <w:rFonts w:ascii="Figtree" w:hAnsi="Figtree"/>
          <w:color w:val="3C3F53"/>
          <w:sz w:val="21"/>
          <w:szCs w:val="21"/>
        </w:rPr>
      </w:pPr>
      <w:r w:rsidRPr="008C26F8">
        <w:rPr>
          <w:rFonts w:ascii="Figtree" w:hAnsi="Figtree"/>
          <w:color w:val="3C3F53"/>
          <w:sz w:val="21"/>
          <w:szCs w:val="21"/>
        </w:rPr>
        <w:t xml:space="preserve">This model derisks shared ownership for developers, communities and GB Energy whilst allowing for rapid progress to be made in increasing uptake. It also provides the opportunity for GB Energy teams and community groups to gain insight into project operations by having a seat at the table throughout the development process, and at the same time providing support and insight to the developer from Government and local communities. These three key players – government, private sector and communities </w:t>
      </w:r>
      <w:r w:rsidR="00105CE3" w:rsidRPr="008C26F8">
        <w:rPr>
          <w:rFonts w:ascii="Figtree" w:hAnsi="Figtree"/>
          <w:color w:val="3C3F53"/>
          <w:sz w:val="21"/>
          <w:szCs w:val="21"/>
        </w:rPr>
        <w:t>–</w:t>
      </w:r>
      <w:r w:rsidRPr="008C26F8">
        <w:rPr>
          <w:rFonts w:ascii="Figtree" w:hAnsi="Figtree"/>
          <w:color w:val="3C3F53"/>
          <w:sz w:val="21"/>
          <w:szCs w:val="21"/>
        </w:rPr>
        <w:t xml:space="preserve"> </w:t>
      </w:r>
      <w:r w:rsidR="00105CE3" w:rsidRPr="008C26F8">
        <w:rPr>
          <w:rFonts w:ascii="Figtree" w:hAnsi="Figtree"/>
          <w:color w:val="3C3F53"/>
          <w:sz w:val="21"/>
          <w:szCs w:val="21"/>
        </w:rPr>
        <w:t xml:space="preserve">are </w:t>
      </w:r>
      <w:r w:rsidRPr="008C26F8">
        <w:rPr>
          <w:rFonts w:ascii="Figtree" w:hAnsi="Figtree"/>
          <w:color w:val="3C3F53"/>
          <w:sz w:val="21"/>
          <w:szCs w:val="21"/>
        </w:rPr>
        <w:t>all equally essential to the ramp of up shared ownership – and renewable energy – in the UK.</w:t>
      </w:r>
    </w:p>
    <w:p w14:paraId="3854B2A3" w14:textId="7CA5BAD0" w:rsidR="006F7B91" w:rsidRPr="008C26F8" w:rsidRDefault="00EC63E9" w:rsidP="006F7B91">
      <w:pPr>
        <w:rPr>
          <w:rFonts w:ascii="Figtree" w:hAnsi="Figtree"/>
          <w:b/>
          <w:bCs/>
          <w:color w:val="3C3F53"/>
          <w:sz w:val="21"/>
          <w:szCs w:val="21"/>
        </w:rPr>
      </w:pPr>
      <w:r w:rsidRPr="008C26F8">
        <w:rPr>
          <w:rFonts w:ascii="Figtree" w:hAnsi="Figtree"/>
          <w:b/>
          <w:bCs/>
          <w:color w:val="3C3F53"/>
          <w:sz w:val="21"/>
          <w:szCs w:val="21"/>
        </w:rPr>
        <w:t>Proposal 3: Incentive mechanisms to reward developers for greater positive impact</w:t>
      </w:r>
    </w:p>
    <w:p w14:paraId="2455F5ED" w14:textId="58CF5BDA" w:rsidR="006F7B91" w:rsidRPr="008C26F8" w:rsidRDefault="006F7B91" w:rsidP="006F7B91">
      <w:pPr>
        <w:rPr>
          <w:rFonts w:ascii="Figtree" w:hAnsi="Figtree"/>
          <w:color w:val="3C3F53"/>
          <w:sz w:val="21"/>
          <w:szCs w:val="21"/>
        </w:rPr>
      </w:pPr>
      <w:r w:rsidRPr="008C26F8">
        <w:rPr>
          <w:rFonts w:ascii="Figtree" w:hAnsi="Figtree"/>
          <w:color w:val="3C3F53"/>
          <w:sz w:val="21"/>
          <w:szCs w:val="21"/>
        </w:rPr>
        <w:t xml:space="preserve">We believe that the more that private renewables developments have a positive impact on their local communities, the more that they should be rewarded. </w:t>
      </w:r>
      <w:r w:rsidR="001F42EB" w:rsidRPr="008C26F8">
        <w:rPr>
          <w:rFonts w:ascii="Figtree" w:hAnsi="Figtree"/>
          <w:color w:val="3C3F53"/>
          <w:sz w:val="21"/>
          <w:szCs w:val="21"/>
        </w:rPr>
        <w:t>Therefore</w:t>
      </w:r>
      <w:r w:rsidR="00403509" w:rsidRPr="008C26F8">
        <w:rPr>
          <w:rFonts w:ascii="Figtree" w:hAnsi="Figtree"/>
          <w:color w:val="3C3F53"/>
          <w:sz w:val="21"/>
          <w:szCs w:val="21"/>
        </w:rPr>
        <w:t>,</w:t>
      </w:r>
      <w:r w:rsidR="001F42EB" w:rsidRPr="008C26F8">
        <w:rPr>
          <w:rFonts w:ascii="Figtree" w:hAnsi="Figtree"/>
          <w:color w:val="3C3F53"/>
          <w:sz w:val="21"/>
          <w:szCs w:val="21"/>
        </w:rPr>
        <w:t xml:space="preserve"> in addition to capacity building and mechanisms like the one outlined above to ‘unlock’ shared ownership, we are also</w:t>
      </w:r>
      <w:r w:rsidRPr="008C26F8">
        <w:rPr>
          <w:rFonts w:ascii="Figtree" w:hAnsi="Figtree"/>
          <w:color w:val="3C3F53"/>
          <w:sz w:val="21"/>
          <w:szCs w:val="21"/>
        </w:rPr>
        <w:t xml:space="preserve"> calling for positive incentive mechanisms for projects where community groups have a stake. </w:t>
      </w:r>
      <w:r w:rsidR="00403509" w:rsidRPr="008C26F8">
        <w:rPr>
          <w:rFonts w:ascii="Figtree" w:hAnsi="Figtree"/>
          <w:color w:val="3C3F53"/>
          <w:sz w:val="21"/>
          <w:szCs w:val="21"/>
        </w:rPr>
        <w:t xml:space="preserve">In all cases, uplifts should be weighted/tiered so that the greater the ownership stake, the greater the reward. </w:t>
      </w:r>
      <w:r w:rsidRPr="008C26F8">
        <w:rPr>
          <w:rFonts w:ascii="Figtree" w:hAnsi="Figtree"/>
          <w:color w:val="3C3F53"/>
          <w:sz w:val="21"/>
          <w:szCs w:val="21"/>
        </w:rPr>
        <w:t>These might include:</w:t>
      </w:r>
    </w:p>
    <w:p w14:paraId="10C84F5B" w14:textId="2F08BF14" w:rsidR="006F7B91" w:rsidRPr="008C26F8" w:rsidRDefault="006F7B91" w:rsidP="006F7B91">
      <w:pPr>
        <w:pStyle w:val="ListParagraph"/>
        <w:numPr>
          <w:ilvl w:val="0"/>
          <w:numId w:val="14"/>
        </w:numPr>
        <w:rPr>
          <w:rFonts w:ascii="Figtree" w:hAnsi="Figtree"/>
          <w:color w:val="3C3F53"/>
          <w:sz w:val="21"/>
          <w:szCs w:val="21"/>
        </w:rPr>
      </w:pPr>
      <w:r w:rsidRPr="008C26F8">
        <w:rPr>
          <w:rFonts w:ascii="Figtree" w:hAnsi="Figtree"/>
          <w:color w:val="3C3F53"/>
          <w:sz w:val="21"/>
          <w:szCs w:val="21"/>
        </w:rPr>
        <w:t>Incentives within government financial support schemes, e.g. Contract for Difference (CfD) uplifts</w:t>
      </w:r>
      <w:r w:rsidR="008C26F8" w:rsidRPr="008C26F8">
        <w:rPr>
          <w:rFonts w:ascii="Figtree" w:hAnsi="Figtree"/>
          <w:color w:val="3C3F53"/>
          <w:sz w:val="21"/>
          <w:szCs w:val="21"/>
        </w:rPr>
        <w:t xml:space="preserve"> along the lines of the </w:t>
      </w:r>
      <w:hyperlink r:id="rId21" w:history="1">
        <w:r w:rsidR="008C26F8" w:rsidRPr="008C26F8">
          <w:rPr>
            <w:rStyle w:val="Hyperlink"/>
            <w:rFonts w:ascii="Figtree" w:hAnsi="Figtree"/>
            <w:sz w:val="21"/>
            <w:szCs w:val="21"/>
          </w:rPr>
          <w:t>Clean Industry Bonus</w:t>
        </w:r>
      </w:hyperlink>
    </w:p>
    <w:p w14:paraId="6F9909C2" w14:textId="77777777" w:rsidR="006F7B91" w:rsidRPr="008C26F8" w:rsidRDefault="006F7B91" w:rsidP="006F7B91">
      <w:pPr>
        <w:pStyle w:val="ListParagraph"/>
        <w:numPr>
          <w:ilvl w:val="0"/>
          <w:numId w:val="14"/>
        </w:numPr>
        <w:rPr>
          <w:rFonts w:ascii="Figtree" w:hAnsi="Figtree"/>
          <w:color w:val="3C3F53"/>
          <w:sz w:val="21"/>
          <w:szCs w:val="21"/>
        </w:rPr>
      </w:pPr>
      <w:r w:rsidRPr="008C26F8">
        <w:rPr>
          <w:rFonts w:ascii="Figtree" w:hAnsi="Figtree"/>
          <w:color w:val="3C3F53"/>
          <w:sz w:val="21"/>
          <w:szCs w:val="21"/>
        </w:rPr>
        <w:t>% shared ownership as a weighted criteria in tendering processes for private projects on public land</w:t>
      </w:r>
    </w:p>
    <w:p w14:paraId="5D183E0D" w14:textId="57BD6609" w:rsidR="006F7B91" w:rsidRPr="008C26F8" w:rsidRDefault="006F7B91" w:rsidP="006F7B91">
      <w:pPr>
        <w:pStyle w:val="ListParagraph"/>
        <w:numPr>
          <w:ilvl w:val="0"/>
          <w:numId w:val="14"/>
        </w:numPr>
        <w:rPr>
          <w:rFonts w:ascii="Figtree" w:hAnsi="Figtree"/>
          <w:color w:val="3C3F53"/>
          <w:sz w:val="21"/>
          <w:szCs w:val="21"/>
        </w:rPr>
      </w:pPr>
      <w:r w:rsidRPr="008C26F8">
        <w:rPr>
          <w:rFonts w:ascii="Figtree" w:hAnsi="Figtree"/>
          <w:color w:val="3C3F53"/>
          <w:sz w:val="21"/>
          <w:szCs w:val="21"/>
        </w:rPr>
        <w:t>Shared ownership designated/prioritised in the grid connection process.</w:t>
      </w:r>
      <w:r w:rsidR="00403509" w:rsidRPr="008C26F8">
        <w:rPr>
          <w:rFonts w:ascii="Figtree" w:hAnsi="Figtree"/>
          <w:color w:val="3C3F53"/>
          <w:sz w:val="21"/>
          <w:szCs w:val="21"/>
        </w:rPr>
        <w:t xml:space="preserve"> The option for shared ownership to be a material consideration within the planning process could also be explored.</w:t>
      </w:r>
    </w:p>
    <w:p w14:paraId="21F4A2FE" w14:textId="10453E72" w:rsidR="00C57BBF" w:rsidRPr="008C26F8" w:rsidRDefault="00403509" w:rsidP="00403509">
      <w:pPr>
        <w:pStyle w:val="ListParagraph"/>
        <w:numPr>
          <w:ilvl w:val="0"/>
          <w:numId w:val="14"/>
        </w:numPr>
        <w:rPr>
          <w:rFonts w:ascii="Figtree" w:hAnsi="Figtree"/>
          <w:color w:val="3C3F53"/>
          <w:sz w:val="21"/>
          <w:szCs w:val="21"/>
        </w:rPr>
      </w:pPr>
      <w:r w:rsidRPr="008C26F8">
        <w:rPr>
          <w:rFonts w:ascii="Figtree" w:hAnsi="Figtree"/>
          <w:color w:val="3C3F53"/>
          <w:sz w:val="21"/>
          <w:szCs w:val="21"/>
        </w:rPr>
        <w:t xml:space="preserve">Other funding incentives, e.g. replicating </w:t>
      </w:r>
      <w:hyperlink r:id="rId22" w:history="1">
        <w:r w:rsidRPr="008C26F8">
          <w:rPr>
            <w:rStyle w:val="Hyperlink"/>
            <w:rFonts w:ascii="Figtree" w:hAnsi="Figtree"/>
            <w:sz w:val="21"/>
            <w:szCs w:val="21"/>
          </w:rPr>
          <w:t>Denmark’s Guarantee Fund</w:t>
        </w:r>
      </w:hyperlink>
      <w:r w:rsidRPr="008C26F8">
        <w:rPr>
          <w:rFonts w:ascii="Figtree" w:hAnsi="Figtree"/>
          <w:color w:val="3C3F53"/>
          <w:sz w:val="21"/>
          <w:szCs w:val="21"/>
        </w:rPr>
        <w:t>, which provides grants for preliminary investigations for wind farms that have a shared ownership agreement in place.</w:t>
      </w:r>
    </w:p>
    <w:p w14:paraId="798A9983" w14:textId="0E43FF05" w:rsidR="00326705" w:rsidRPr="008C26F8" w:rsidRDefault="00326705" w:rsidP="006F7B91">
      <w:pPr>
        <w:rPr>
          <w:rFonts w:ascii="Figtree" w:hAnsi="Figtree"/>
          <w:b/>
          <w:bCs/>
          <w:color w:val="3C3F53"/>
          <w:sz w:val="21"/>
          <w:szCs w:val="21"/>
        </w:rPr>
      </w:pPr>
      <w:r w:rsidRPr="008C26F8">
        <w:rPr>
          <w:rFonts w:ascii="Figtree" w:hAnsi="Figtree"/>
          <w:b/>
          <w:bCs/>
          <w:color w:val="3C3F53"/>
          <w:sz w:val="21"/>
          <w:szCs w:val="21"/>
        </w:rPr>
        <w:t>Contact</w:t>
      </w:r>
    </w:p>
    <w:p w14:paraId="14E4163B" w14:textId="5C30B4CC" w:rsidR="00326705" w:rsidRPr="008C26F8" w:rsidRDefault="00326705" w:rsidP="006F7B91">
      <w:pPr>
        <w:rPr>
          <w:rFonts w:ascii="Figtree" w:hAnsi="Figtree"/>
          <w:color w:val="3C3F53"/>
          <w:sz w:val="21"/>
          <w:szCs w:val="21"/>
        </w:rPr>
      </w:pPr>
      <w:r w:rsidRPr="008C26F8">
        <w:rPr>
          <w:rFonts w:ascii="Figtree" w:hAnsi="Figtree"/>
          <w:color w:val="3C3F53"/>
          <w:sz w:val="21"/>
          <w:szCs w:val="21"/>
        </w:rPr>
        <w:t xml:space="preserve">We are sharing our proposals with the hope of achieving cross-sector consensus on the route forward. </w:t>
      </w:r>
      <w:r w:rsidR="00403509" w:rsidRPr="008C26F8">
        <w:rPr>
          <w:rFonts w:ascii="Figtree" w:hAnsi="Figtree"/>
          <w:color w:val="3C3F53"/>
          <w:sz w:val="21"/>
          <w:szCs w:val="21"/>
        </w:rPr>
        <w:t xml:space="preserve">We encourage you to join us in shaping the new standards by responding positively to the UK Government’s proposals, and telling them how these or other incentives could make them viable for you and the industry. </w:t>
      </w:r>
      <w:r w:rsidRPr="008C26F8">
        <w:rPr>
          <w:rFonts w:ascii="Figtree" w:hAnsi="Figtree"/>
          <w:color w:val="3C3F53"/>
          <w:sz w:val="21"/>
          <w:szCs w:val="21"/>
        </w:rPr>
        <w:t xml:space="preserve">We would value your feedback and/or a follow-up conversation. </w:t>
      </w:r>
      <w:r w:rsidR="007729A9" w:rsidRPr="008C26F8">
        <w:rPr>
          <w:rFonts w:ascii="Figtree" w:hAnsi="Figtree"/>
          <w:color w:val="3C3F53"/>
          <w:sz w:val="21"/>
          <w:szCs w:val="21"/>
        </w:rPr>
        <w:t xml:space="preserve">Please get in touch with us: </w:t>
      </w:r>
      <w:hyperlink r:id="rId23" w:history="1">
        <w:r w:rsidR="009D3FED" w:rsidRPr="002D3414">
          <w:rPr>
            <w:rStyle w:val="Hyperlink"/>
            <w:rFonts w:ascii="Figtree" w:hAnsi="Figtree"/>
            <w:sz w:val="21"/>
            <w:szCs w:val="21"/>
          </w:rPr>
          <w:t>zoe.holliday@communityenergy.scot</w:t>
        </w:r>
      </w:hyperlink>
      <w:r w:rsidR="009D3FED">
        <w:rPr>
          <w:rFonts w:ascii="Figtree" w:hAnsi="Figtree"/>
          <w:color w:val="3C3F53"/>
          <w:sz w:val="21"/>
          <w:szCs w:val="21"/>
        </w:rPr>
        <w:t xml:space="preserve"> and </w:t>
      </w:r>
      <w:hyperlink r:id="rId24" w:history="1">
        <w:r w:rsidR="009D3FED">
          <w:rPr>
            <w:rStyle w:val="Hyperlink"/>
            <w:rFonts w:ascii="Figtree" w:hAnsi="Figtree"/>
            <w:sz w:val="21"/>
            <w:szCs w:val="21"/>
          </w:rPr>
          <w:t>amanda.grimm@communityenergy.scot</w:t>
        </w:r>
      </w:hyperlink>
      <w:r w:rsidR="009D3FED">
        <w:rPr>
          <w:rStyle w:val="Hyperlink"/>
          <w:rFonts w:ascii="Figtree" w:hAnsi="Figtree"/>
          <w:sz w:val="21"/>
          <w:szCs w:val="21"/>
        </w:rPr>
        <w:t xml:space="preserve">. </w:t>
      </w:r>
      <w:bookmarkStart w:id="1" w:name="_GoBack"/>
      <w:bookmarkEnd w:id="1"/>
      <w:r w:rsidR="007729A9" w:rsidRPr="008C26F8">
        <w:rPr>
          <w:rFonts w:ascii="Figtree" w:hAnsi="Figtree"/>
          <w:color w:val="3C3F53"/>
          <w:sz w:val="21"/>
          <w:szCs w:val="21"/>
        </w:rPr>
        <w:t xml:space="preserve"> </w:t>
      </w:r>
    </w:p>
    <w:sectPr w:rsidR="00326705" w:rsidRPr="008C26F8" w:rsidSect="006B353E">
      <w:headerReference w:type="default" r:id="rId25"/>
      <w:pgSz w:w="11906" w:h="16838"/>
      <w:pgMar w:top="720" w:right="720" w:bottom="720" w:left="720"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00B6F" w14:textId="77777777" w:rsidR="00EE356B" w:rsidRDefault="00EE356B" w:rsidP="00594EBE">
      <w:pPr>
        <w:spacing w:after="0" w:line="240" w:lineRule="auto"/>
      </w:pPr>
      <w:r>
        <w:separator/>
      </w:r>
    </w:p>
  </w:endnote>
  <w:endnote w:type="continuationSeparator" w:id="0">
    <w:p w14:paraId="24AC9868" w14:textId="77777777" w:rsidR="00EE356B" w:rsidRDefault="00EE356B" w:rsidP="00594EBE">
      <w:pPr>
        <w:spacing w:after="0" w:line="240" w:lineRule="auto"/>
      </w:pPr>
      <w:r>
        <w:continuationSeparator/>
      </w:r>
    </w:p>
  </w:endnote>
  <w:endnote w:type="continuationNotice" w:id="1">
    <w:p w14:paraId="4BD11165" w14:textId="77777777" w:rsidR="00EE356B" w:rsidRDefault="00EE3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9C33D" w14:textId="77777777" w:rsidR="00EE356B" w:rsidRDefault="00EE356B" w:rsidP="00594EBE">
      <w:pPr>
        <w:spacing w:after="0" w:line="240" w:lineRule="auto"/>
      </w:pPr>
      <w:r>
        <w:separator/>
      </w:r>
    </w:p>
  </w:footnote>
  <w:footnote w:type="continuationSeparator" w:id="0">
    <w:p w14:paraId="3FFFFFEB" w14:textId="77777777" w:rsidR="00EE356B" w:rsidRDefault="00EE356B" w:rsidP="00594EBE">
      <w:pPr>
        <w:spacing w:after="0" w:line="240" w:lineRule="auto"/>
      </w:pPr>
      <w:r>
        <w:continuationSeparator/>
      </w:r>
    </w:p>
  </w:footnote>
  <w:footnote w:type="continuationNotice" w:id="1">
    <w:p w14:paraId="20B1D201" w14:textId="77777777" w:rsidR="00EE356B" w:rsidRDefault="00EE3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333D" w14:textId="76ED3526" w:rsidR="00EE356B" w:rsidRPr="004A70D0" w:rsidRDefault="00EE356B" w:rsidP="004A70D0">
    <w:pPr>
      <w:pStyle w:val="Header"/>
      <w:tabs>
        <w:tab w:val="left" w:pos="6552"/>
      </w:tabs>
    </w:pPr>
    <w:r w:rsidRPr="004A70D0">
      <w:rPr>
        <w:noProof/>
      </w:rPr>
      <w:drawing>
        <wp:anchor distT="0" distB="0" distL="114300" distR="114300" simplePos="0" relativeHeight="251658240" behindDoc="0" locked="0" layoutInCell="1" allowOverlap="1" wp14:anchorId="4E613E87" wp14:editId="023E4AC1">
          <wp:simplePos x="0" y="0"/>
          <wp:positionH relativeFrom="margin">
            <wp:posOffset>4366260</wp:posOffset>
          </wp:positionH>
          <wp:positionV relativeFrom="paragraph">
            <wp:posOffset>-98425</wp:posOffset>
          </wp:positionV>
          <wp:extent cx="2240280" cy="687070"/>
          <wp:effectExtent l="0" t="0" r="7620" b="0"/>
          <wp:wrapNone/>
          <wp:docPr id="395623752"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62448" name="Picture 3"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687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0D0">
      <w:rPr>
        <w:noProof/>
      </w:rPr>
      <w:drawing>
        <wp:anchor distT="0" distB="0" distL="114300" distR="114300" simplePos="0" relativeHeight="251658241" behindDoc="0" locked="0" layoutInCell="1" allowOverlap="1" wp14:anchorId="3BCC442D" wp14:editId="1ABDE671">
          <wp:simplePos x="0" y="0"/>
          <wp:positionH relativeFrom="margin">
            <wp:posOffset>2646680</wp:posOffset>
          </wp:positionH>
          <wp:positionV relativeFrom="paragraph">
            <wp:posOffset>-274320</wp:posOffset>
          </wp:positionV>
          <wp:extent cx="1353185" cy="960120"/>
          <wp:effectExtent l="0" t="0" r="0" b="0"/>
          <wp:wrapNone/>
          <wp:docPr id="1190739817" name="Picture 5" descr="A white map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93614" name="Picture 5" descr="A white map with green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185" cy="960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AF5C409" wp14:editId="45FD1FE8">
          <wp:simplePos x="0" y="0"/>
          <wp:positionH relativeFrom="margin">
            <wp:posOffset>-60960</wp:posOffset>
          </wp:positionH>
          <wp:positionV relativeFrom="paragraph">
            <wp:posOffset>-121920</wp:posOffset>
          </wp:positionV>
          <wp:extent cx="2537460" cy="708025"/>
          <wp:effectExtent l="0" t="0" r="0" b="0"/>
          <wp:wrapNone/>
          <wp:docPr id="1656834643" name="Picture 6"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8789" name="Picture 6" descr="A logo with text on it&#10;&#10;AI-generated content may be incorrect."/>
                  <pic:cNvPicPr/>
                </pic:nvPicPr>
                <pic:blipFill rotWithShape="1">
                  <a:blip r:embed="rId3">
                    <a:extLst>
                      <a:ext uri="{28A0092B-C50C-407E-A947-70E740481C1C}">
                        <a14:useLocalDpi xmlns:a14="http://schemas.microsoft.com/office/drawing/2010/main" val="0"/>
                      </a:ext>
                    </a:extLst>
                  </a:blip>
                  <a:srcRect l="8140" t="17732" r="6440" b="18675"/>
                  <a:stretch/>
                </pic:blipFill>
                <pic:spPr bwMode="auto">
                  <a:xfrm>
                    <a:off x="0" y="0"/>
                    <a:ext cx="2537460" cy="70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A8B017" w14:textId="6658BA5F" w:rsidR="00EE356B" w:rsidRDefault="00EE356B" w:rsidP="004A70D0">
    <w:pPr>
      <w:pStyle w:val="Header"/>
      <w:tabs>
        <w:tab w:val="left" w:pos="6552"/>
      </w:tabs>
    </w:pPr>
  </w:p>
  <w:p w14:paraId="0EF50803" w14:textId="77777777" w:rsidR="00EE356B" w:rsidRPr="004A70D0" w:rsidRDefault="00EE356B" w:rsidP="004A70D0">
    <w:pPr>
      <w:pStyle w:val="Header"/>
      <w:tabs>
        <w:tab w:val="left" w:pos="6552"/>
      </w:tabs>
    </w:pPr>
  </w:p>
  <w:p w14:paraId="0F9B037E" w14:textId="5CDC358F" w:rsidR="00EE356B" w:rsidRDefault="00EE356B" w:rsidP="004A70D0">
    <w:pPr>
      <w:pStyle w:val="Header"/>
      <w:tabs>
        <w:tab w:val="clear" w:pos="4513"/>
        <w:tab w:val="clear" w:pos="9026"/>
        <w:tab w:val="left" w:pos="6552"/>
      </w:tabs>
      <w:rPr>
        <w:noProof/>
      </w:rPr>
    </w:pPr>
  </w:p>
  <w:p w14:paraId="79765BEE" w14:textId="77777777" w:rsidR="00EE356B" w:rsidRPr="006B353E" w:rsidRDefault="00EE356B">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CE4"/>
    <w:multiLevelType w:val="hybridMultilevel"/>
    <w:tmpl w:val="DC22B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832D1"/>
    <w:multiLevelType w:val="hybridMultilevel"/>
    <w:tmpl w:val="B8066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D7EAA"/>
    <w:multiLevelType w:val="hybridMultilevel"/>
    <w:tmpl w:val="6D6EA53A"/>
    <w:lvl w:ilvl="0" w:tplc="19E01C56">
      <w:start w:val="2"/>
      <w:numFmt w:val="bullet"/>
      <w:lvlText w:val="-"/>
      <w:lvlJc w:val="left"/>
      <w:pPr>
        <w:ind w:left="720" w:hanging="360"/>
      </w:pPr>
      <w:rPr>
        <w:rFonts w:ascii="Figtree" w:eastAsiaTheme="minorHAnsi" w:hAnsi="Figtre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F219A"/>
    <w:multiLevelType w:val="hybridMultilevel"/>
    <w:tmpl w:val="21C4B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05638C"/>
    <w:multiLevelType w:val="hybridMultilevel"/>
    <w:tmpl w:val="8800E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7F7E23"/>
    <w:multiLevelType w:val="hybridMultilevel"/>
    <w:tmpl w:val="5212E1D0"/>
    <w:lvl w:ilvl="0" w:tplc="884C53C6">
      <w:start w:val="3"/>
      <w:numFmt w:val="bullet"/>
      <w:lvlText w:val="-"/>
      <w:lvlJc w:val="left"/>
      <w:pPr>
        <w:ind w:left="720" w:hanging="360"/>
      </w:pPr>
      <w:rPr>
        <w:rFonts w:ascii="Figtree" w:eastAsiaTheme="minorHAnsi" w:hAnsi="Figtre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B3EB7"/>
    <w:multiLevelType w:val="hybridMultilevel"/>
    <w:tmpl w:val="4F9EB726"/>
    <w:lvl w:ilvl="0" w:tplc="602605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F5F64"/>
    <w:multiLevelType w:val="hybridMultilevel"/>
    <w:tmpl w:val="24BA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7725B"/>
    <w:multiLevelType w:val="hybridMultilevel"/>
    <w:tmpl w:val="AA20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74E6E"/>
    <w:multiLevelType w:val="hybridMultilevel"/>
    <w:tmpl w:val="E9D671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4458E2"/>
    <w:multiLevelType w:val="hybridMultilevel"/>
    <w:tmpl w:val="58E4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B0092A"/>
    <w:multiLevelType w:val="hybridMultilevel"/>
    <w:tmpl w:val="21C4B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5D137F"/>
    <w:multiLevelType w:val="hybridMultilevel"/>
    <w:tmpl w:val="CD98DC96"/>
    <w:lvl w:ilvl="0" w:tplc="C920701E">
      <w:start w:val="201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B510D5"/>
    <w:multiLevelType w:val="hybridMultilevel"/>
    <w:tmpl w:val="66CAD258"/>
    <w:lvl w:ilvl="0" w:tplc="3B6ABD7E">
      <w:start w:val="1"/>
      <w:numFmt w:val="decimal"/>
      <w:lvlText w:val="%1."/>
      <w:lvlJc w:val="left"/>
      <w:pPr>
        <w:ind w:left="363" w:hanging="36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C93C70"/>
    <w:multiLevelType w:val="hybridMultilevel"/>
    <w:tmpl w:val="154A3BB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01A0085"/>
    <w:multiLevelType w:val="hybridMultilevel"/>
    <w:tmpl w:val="CCB6E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534287"/>
    <w:multiLevelType w:val="hybridMultilevel"/>
    <w:tmpl w:val="F3EE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
  </w:num>
  <w:num w:numId="4">
    <w:abstractNumId w:val="5"/>
  </w:num>
  <w:num w:numId="5">
    <w:abstractNumId w:val="1"/>
  </w:num>
  <w:num w:numId="6">
    <w:abstractNumId w:val="7"/>
  </w:num>
  <w:num w:numId="7">
    <w:abstractNumId w:val="8"/>
  </w:num>
  <w:num w:numId="8">
    <w:abstractNumId w:val="4"/>
  </w:num>
  <w:num w:numId="9">
    <w:abstractNumId w:val="11"/>
  </w:num>
  <w:num w:numId="10">
    <w:abstractNumId w:val="14"/>
  </w:num>
  <w:num w:numId="11">
    <w:abstractNumId w:val="12"/>
  </w:num>
  <w:num w:numId="12">
    <w:abstractNumId w:val="3"/>
  </w:num>
  <w:num w:numId="13">
    <w:abstractNumId w:val="10"/>
  </w:num>
  <w:num w:numId="14">
    <w:abstractNumId w:val="0"/>
  </w:num>
  <w:num w:numId="15">
    <w:abstractNumId w:val="16"/>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4B"/>
    <w:rsid w:val="000029DB"/>
    <w:rsid w:val="00003C5E"/>
    <w:rsid w:val="0000421F"/>
    <w:rsid w:val="00006CDD"/>
    <w:rsid w:val="00007323"/>
    <w:rsid w:val="00010A29"/>
    <w:rsid w:val="000167A1"/>
    <w:rsid w:val="0002024E"/>
    <w:rsid w:val="00023335"/>
    <w:rsid w:val="00031D93"/>
    <w:rsid w:val="0003467C"/>
    <w:rsid w:val="000401E1"/>
    <w:rsid w:val="000440F2"/>
    <w:rsid w:val="00050790"/>
    <w:rsid w:val="00054620"/>
    <w:rsid w:val="00056E1F"/>
    <w:rsid w:val="0006362F"/>
    <w:rsid w:val="000636A3"/>
    <w:rsid w:val="00063E97"/>
    <w:rsid w:val="00065CA9"/>
    <w:rsid w:val="00070AC8"/>
    <w:rsid w:val="0007297B"/>
    <w:rsid w:val="00080A0B"/>
    <w:rsid w:val="00081DB3"/>
    <w:rsid w:val="0008745C"/>
    <w:rsid w:val="00093006"/>
    <w:rsid w:val="000A1C74"/>
    <w:rsid w:val="000A62EA"/>
    <w:rsid w:val="000D767A"/>
    <w:rsid w:val="000E06AC"/>
    <w:rsid w:val="000E1091"/>
    <w:rsid w:val="000F524C"/>
    <w:rsid w:val="00100D54"/>
    <w:rsid w:val="00105CE3"/>
    <w:rsid w:val="00106D0B"/>
    <w:rsid w:val="00110C86"/>
    <w:rsid w:val="00110DF4"/>
    <w:rsid w:val="001228DE"/>
    <w:rsid w:val="00132B70"/>
    <w:rsid w:val="00132E0E"/>
    <w:rsid w:val="00145285"/>
    <w:rsid w:val="0015361C"/>
    <w:rsid w:val="0015633E"/>
    <w:rsid w:val="0015670C"/>
    <w:rsid w:val="001604C6"/>
    <w:rsid w:val="00164448"/>
    <w:rsid w:val="001704E9"/>
    <w:rsid w:val="00174542"/>
    <w:rsid w:val="001863C7"/>
    <w:rsid w:val="001928C1"/>
    <w:rsid w:val="00194827"/>
    <w:rsid w:val="001A4EFD"/>
    <w:rsid w:val="001B16F4"/>
    <w:rsid w:val="001B23B1"/>
    <w:rsid w:val="001B4FF1"/>
    <w:rsid w:val="001C3B94"/>
    <w:rsid w:val="001C3F19"/>
    <w:rsid w:val="001C4F77"/>
    <w:rsid w:val="001C5E0E"/>
    <w:rsid w:val="001D5D18"/>
    <w:rsid w:val="001D6DFE"/>
    <w:rsid w:val="001E15B8"/>
    <w:rsid w:val="001F42EB"/>
    <w:rsid w:val="001F4FB8"/>
    <w:rsid w:val="001F6E73"/>
    <w:rsid w:val="00201659"/>
    <w:rsid w:val="00204955"/>
    <w:rsid w:val="00204A4E"/>
    <w:rsid w:val="002110BF"/>
    <w:rsid w:val="00212494"/>
    <w:rsid w:val="00216A04"/>
    <w:rsid w:val="00222591"/>
    <w:rsid w:val="00226722"/>
    <w:rsid w:val="00232155"/>
    <w:rsid w:val="002555BB"/>
    <w:rsid w:val="002615F9"/>
    <w:rsid w:val="00272373"/>
    <w:rsid w:val="00281820"/>
    <w:rsid w:val="00291F94"/>
    <w:rsid w:val="002939DF"/>
    <w:rsid w:val="00294D0C"/>
    <w:rsid w:val="002963F2"/>
    <w:rsid w:val="002A34AE"/>
    <w:rsid w:val="002A734A"/>
    <w:rsid w:val="002B24C3"/>
    <w:rsid w:val="002C2BB3"/>
    <w:rsid w:val="002C7CF7"/>
    <w:rsid w:val="002D0DF8"/>
    <w:rsid w:val="002D3053"/>
    <w:rsid w:val="002D59C1"/>
    <w:rsid w:val="002E7A0B"/>
    <w:rsid w:val="00303F55"/>
    <w:rsid w:val="00306BAD"/>
    <w:rsid w:val="00306D9E"/>
    <w:rsid w:val="00307645"/>
    <w:rsid w:val="003078D0"/>
    <w:rsid w:val="00326705"/>
    <w:rsid w:val="00335442"/>
    <w:rsid w:val="003432AA"/>
    <w:rsid w:val="00360749"/>
    <w:rsid w:val="003644F9"/>
    <w:rsid w:val="0037085F"/>
    <w:rsid w:val="00370F40"/>
    <w:rsid w:val="00370F7E"/>
    <w:rsid w:val="0037158A"/>
    <w:rsid w:val="00380645"/>
    <w:rsid w:val="0038547B"/>
    <w:rsid w:val="00390389"/>
    <w:rsid w:val="003A2B79"/>
    <w:rsid w:val="003A77F0"/>
    <w:rsid w:val="003B1737"/>
    <w:rsid w:val="003B4428"/>
    <w:rsid w:val="003B5D09"/>
    <w:rsid w:val="003C17CB"/>
    <w:rsid w:val="003C5CC1"/>
    <w:rsid w:val="003E629C"/>
    <w:rsid w:val="003F253B"/>
    <w:rsid w:val="003F2BB9"/>
    <w:rsid w:val="0040291F"/>
    <w:rsid w:val="00403509"/>
    <w:rsid w:val="0040352A"/>
    <w:rsid w:val="00404DF5"/>
    <w:rsid w:val="00413826"/>
    <w:rsid w:val="00416208"/>
    <w:rsid w:val="00417AC4"/>
    <w:rsid w:val="0042188E"/>
    <w:rsid w:val="004250C0"/>
    <w:rsid w:val="00437A75"/>
    <w:rsid w:val="004415AA"/>
    <w:rsid w:val="0044419A"/>
    <w:rsid w:val="00447B3B"/>
    <w:rsid w:val="0045102E"/>
    <w:rsid w:val="00461FE1"/>
    <w:rsid w:val="00463E4A"/>
    <w:rsid w:val="00470EC8"/>
    <w:rsid w:val="00471262"/>
    <w:rsid w:val="004739F9"/>
    <w:rsid w:val="00474DB3"/>
    <w:rsid w:val="0047640D"/>
    <w:rsid w:val="004767CA"/>
    <w:rsid w:val="004831B8"/>
    <w:rsid w:val="0048326C"/>
    <w:rsid w:val="004835F4"/>
    <w:rsid w:val="00494BAA"/>
    <w:rsid w:val="00497971"/>
    <w:rsid w:val="004979D2"/>
    <w:rsid w:val="004A70D0"/>
    <w:rsid w:val="004B38F6"/>
    <w:rsid w:val="004B4D5D"/>
    <w:rsid w:val="004C0EB7"/>
    <w:rsid w:val="004D2D4E"/>
    <w:rsid w:val="004D5391"/>
    <w:rsid w:val="004D694B"/>
    <w:rsid w:val="004E45A2"/>
    <w:rsid w:val="004F2031"/>
    <w:rsid w:val="004F23B1"/>
    <w:rsid w:val="004F2832"/>
    <w:rsid w:val="004F5349"/>
    <w:rsid w:val="00500C3C"/>
    <w:rsid w:val="0050588B"/>
    <w:rsid w:val="00505BE3"/>
    <w:rsid w:val="005263F1"/>
    <w:rsid w:val="00527982"/>
    <w:rsid w:val="00531930"/>
    <w:rsid w:val="00534B03"/>
    <w:rsid w:val="005378D0"/>
    <w:rsid w:val="005379C8"/>
    <w:rsid w:val="005447BE"/>
    <w:rsid w:val="00545454"/>
    <w:rsid w:val="00547DD3"/>
    <w:rsid w:val="00550CED"/>
    <w:rsid w:val="00563D8E"/>
    <w:rsid w:val="005917EE"/>
    <w:rsid w:val="00591880"/>
    <w:rsid w:val="00594EBE"/>
    <w:rsid w:val="005A3034"/>
    <w:rsid w:val="005B2FBA"/>
    <w:rsid w:val="005B6D68"/>
    <w:rsid w:val="005B7CDB"/>
    <w:rsid w:val="005C1A06"/>
    <w:rsid w:val="005C2B02"/>
    <w:rsid w:val="005C4C8B"/>
    <w:rsid w:val="005C62CB"/>
    <w:rsid w:val="005D0EC2"/>
    <w:rsid w:val="005D59B5"/>
    <w:rsid w:val="005E2280"/>
    <w:rsid w:val="00601059"/>
    <w:rsid w:val="006056CA"/>
    <w:rsid w:val="0061472D"/>
    <w:rsid w:val="00621F07"/>
    <w:rsid w:val="00623D41"/>
    <w:rsid w:val="0063511D"/>
    <w:rsid w:val="00635F09"/>
    <w:rsid w:val="0064274A"/>
    <w:rsid w:val="00644399"/>
    <w:rsid w:val="00645AA2"/>
    <w:rsid w:val="006472CE"/>
    <w:rsid w:val="00661DED"/>
    <w:rsid w:val="00666188"/>
    <w:rsid w:val="006818E2"/>
    <w:rsid w:val="00692B88"/>
    <w:rsid w:val="00693B54"/>
    <w:rsid w:val="00695C82"/>
    <w:rsid w:val="006A1165"/>
    <w:rsid w:val="006A1569"/>
    <w:rsid w:val="006B02E5"/>
    <w:rsid w:val="006B039E"/>
    <w:rsid w:val="006B15BE"/>
    <w:rsid w:val="006B26E6"/>
    <w:rsid w:val="006B353E"/>
    <w:rsid w:val="006B52A2"/>
    <w:rsid w:val="006C18B4"/>
    <w:rsid w:val="006D1C59"/>
    <w:rsid w:val="006D4825"/>
    <w:rsid w:val="006D748A"/>
    <w:rsid w:val="006E621D"/>
    <w:rsid w:val="006F7B91"/>
    <w:rsid w:val="0070012F"/>
    <w:rsid w:val="00700836"/>
    <w:rsid w:val="00705EB5"/>
    <w:rsid w:val="00710001"/>
    <w:rsid w:val="00713277"/>
    <w:rsid w:val="00717229"/>
    <w:rsid w:val="00722046"/>
    <w:rsid w:val="00725A36"/>
    <w:rsid w:val="007320B1"/>
    <w:rsid w:val="007370D5"/>
    <w:rsid w:val="007520E1"/>
    <w:rsid w:val="007702E1"/>
    <w:rsid w:val="007729A9"/>
    <w:rsid w:val="00774832"/>
    <w:rsid w:val="0077629D"/>
    <w:rsid w:val="00777463"/>
    <w:rsid w:val="00780CC8"/>
    <w:rsid w:val="00784E9A"/>
    <w:rsid w:val="007A0EFB"/>
    <w:rsid w:val="007A5F4F"/>
    <w:rsid w:val="007B2D02"/>
    <w:rsid w:val="007C1606"/>
    <w:rsid w:val="007D1C09"/>
    <w:rsid w:val="007D3376"/>
    <w:rsid w:val="007E1DD4"/>
    <w:rsid w:val="007F0BFE"/>
    <w:rsid w:val="00801744"/>
    <w:rsid w:val="00802120"/>
    <w:rsid w:val="00804D06"/>
    <w:rsid w:val="00812A6B"/>
    <w:rsid w:val="00812BB2"/>
    <w:rsid w:val="008134F8"/>
    <w:rsid w:val="00813792"/>
    <w:rsid w:val="008210E3"/>
    <w:rsid w:val="008218FB"/>
    <w:rsid w:val="00821BD0"/>
    <w:rsid w:val="00826E17"/>
    <w:rsid w:val="00830588"/>
    <w:rsid w:val="008366CD"/>
    <w:rsid w:val="00836F60"/>
    <w:rsid w:val="00843D31"/>
    <w:rsid w:val="00844C2B"/>
    <w:rsid w:val="00851972"/>
    <w:rsid w:val="00853AE5"/>
    <w:rsid w:val="00866B32"/>
    <w:rsid w:val="0086779B"/>
    <w:rsid w:val="008804D5"/>
    <w:rsid w:val="0088256E"/>
    <w:rsid w:val="00882775"/>
    <w:rsid w:val="00883B65"/>
    <w:rsid w:val="008854DB"/>
    <w:rsid w:val="00887621"/>
    <w:rsid w:val="00890EB5"/>
    <w:rsid w:val="0089164F"/>
    <w:rsid w:val="0089750D"/>
    <w:rsid w:val="008975EE"/>
    <w:rsid w:val="008A0368"/>
    <w:rsid w:val="008A0DBB"/>
    <w:rsid w:val="008A5471"/>
    <w:rsid w:val="008A7FE7"/>
    <w:rsid w:val="008C00E1"/>
    <w:rsid w:val="008C1A86"/>
    <w:rsid w:val="008C26F8"/>
    <w:rsid w:val="008C3C3C"/>
    <w:rsid w:val="008C54F6"/>
    <w:rsid w:val="008D0D7D"/>
    <w:rsid w:val="008D20B9"/>
    <w:rsid w:val="008D5331"/>
    <w:rsid w:val="008D5979"/>
    <w:rsid w:val="008D6921"/>
    <w:rsid w:val="008E65FB"/>
    <w:rsid w:val="008F3248"/>
    <w:rsid w:val="008F6987"/>
    <w:rsid w:val="008F6AED"/>
    <w:rsid w:val="00901518"/>
    <w:rsid w:val="00901E28"/>
    <w:rsid w:val="00914895"/>
    <w:rsid w:val="009240A0"/>
    <w:rsid w:val="00924A84"/>
    <w:rsid w:val="00932DA0"/>
    <w:rsid w:val="009333E5"/>
    <w:rsid w:val="009414EF"/>
    <w:rsid w:val="00942062"/>
    <w:rsid w:val="0094284B"/>
    <w:rsid w:val="0094401E"/>
    <w:rsid w:val="00947A54"/>
    <w:rsid w:val="00955C5F"/>
    <w:rsid w:val="00964213"/>
    <w:rsid w:val="00964574"/>
    <w:rsid w:val="00970771"/>
    <w:rsid w:val="009736BD"/>
    <w:rsid w:val="00973B37"/>
    <w:rsid w:val="00974D41"/>
    <w:rsid w:val="00983029"/>
    <w:rsid w:val="00993743"/>
    <w:rsid w:val="00996682"/>
    <w:rsid w:val="009A3F19"/>
    <w:rsid w:val="009B09B6"/>
    <w:rsid w:val="009B5A6B"/>
    <w:rsid w:val="009B5E48"/>
    <w:rsid w:val="009C6AF5"/>
    <w:rsid w:val="009D1DAD"/>
    <w:rsid w:val="009D24B8"/>
    <w:rsid w:val="009D2DBC"/>
    <w:rsid w:val="009D3F8A"/>
    <w:rsid w:val="009D3FED"/>
    <w:rsid w:val="009D495A"/>
    <w:rsid w:val="009E5457"/>
    <w:rsid w:val="009E5782"/>
    <w:rsid w:val="009F1647"/>
    <w:rsid w:val="009F1B9C"/>
    <w:rsid w:val="009F1F02"/>
    <w:rsid w:val="009F76ED"/>
    <w:rsid w:val="009F7C1F"/>
    <w:rsid w:val="009F7CEA"/>
    <w:rsid w:val="00A0330F"/>
    <w:rsid w:val="00A03578"/>
    <w:rsid w:val="00A041C8"/>
    <w:rsid w:val="00A05B98"/>
    <w:rsid w:val="00A25024"/>
    <w:rsid w:val="00A257E4"/>
    <w:rsid w:val="00A25BBD"/>
    <w:rsid w:val="00A2781B"/>
    <w:rsid w:val="00A35562"/>
    <w:rsid w:val="00A43690"/>
    <w:rsid w:val="00A453DC"/>
    <w:rsid w:val="00A473E9"/>
    <w:rsid w:val="00A66180"/>
    <w:rsid w:val="00A941B3"/>
    <w:rsid w:val="00A94D26"/>
    <w:rsid w:val="00A952F1"/>
    <w:rsid w:val="00AA012E"/>
    <w:rsid w:val="00AA5A75"/>
    <w:rsid w:val="00AB60E5"/>
    <w:rsid w:val="00AC32D9"/>
    <w:rsid w:val="00AE0192"/>
    <w:rsid w:val="00AE28C6"/>
    <w:rsid w:val="00AE57F5"/>
    <w:rsid w:val="00AF5B9F"/>
    <w:rsid w:val="00B04447"/>
    <w:rsid w:val="00B0585E"/>
    <w:rsid w:val="00B11CFA"/>
    <w:rsid w:val="00B1679F"/>
    <w:rsid w:val="00B24852"/>
    <w:rsid w:val="00B25897"/>
    <w:rsid w:val="00B276F5"/>
    <w:rsid w:val="00B30A68"/>
    <w:rsid w:val="00B37722"/>
    <w:rsid w:val="00B40687"/>
    <w:rsid w:val="00B42FDF"/>
    <w:rsid w:val="00B4302E"/>
    <w:rsid w:val="00B4437F"/>
    <w:rsid w:val="00B46769"/>
    <w:rsid w:val="00B51B57"/>
    <w:rsid w:val="00B52F70"/>
    <w:rsid w:val="00B61AA0"/>
    <w:rsid w:val="00B71BDD"/>
    <w:rsid w:val="00BB03E5"/>
    <w:rsid w:val="00BB2BDA"/>
    <w:rsid w:val="00BB2CD2"/>
    <w:rsid w:val="00BB32DD"/>
    <w:rsid w:val="00BB3B7C"/>
    <w:rsid w:val="00BB44D3"/>
    <w:rsid w:val="00BB5E1A"/>
    <w:rsid w:val="00BB7F5A"/>
    <w:rsid w:val="00BB7FB6"/>
    <w:rsid w:val="00BC0FE7"/>
    <w:rsid w:val="00BC2097"/>
    <w:rsid w:val="00BC7A4D"/>
    <w:rsid w:val="00BE2523"/>
    <w:rsid w:val="00BE2AE3"/>
    <w:rsid w:val="00BE422D"/>
    <w:rsid w:val="00BE5F97"/>
    <w:rsid w:val="00BF302B"/>
    <w:rsid w:val="00BF4833"/>
    <w:rsid w:val="00BF5DC6"/>
    <w:rsid w:val="00C06488"/>
    <w:rsid w:val="00C10D2B"/>
    <w:rsid w:val="00C124F8"/>
    <w:rsid w:val="00C1371A"/>
    <w:rsid w:val="00C22AB5"/>
    <w:rsid w:val="00C24299"/>
    <w:rsid w:val="00C26AE7"/>
    <w:rsid w:val="00C349B9"/>
    <w:rsid w:val="00C416AF"/>
    <w:rsid w:val="00C47860"/>
    <w:rsid w:val="00C54AE9"/>
    <w:rsid w:val="00C57BBF"/>
    <w:rsid w:val="00C609FD"/>
    <w:rsid w:val="00C610F9"/>
    <w:rsid w:val="00C610FD"/>
    <w:rsid w:val="00C65A79"/>
    <w:rsid w:val="00C6680D"/>
    <w:rsid w:val="00C71574"/>
    <w:rsid w:val="00C75867"/>
    <w:rsid w:val="00C806AB"/>
    <w:rsid w:val="00C810DF"/>
    <w:rsid w:val="00C95B68"/>
    <w:rsid w:val="00CA1DD0"/>
    <w:rsid w:val="00CB1F55"/>
    <w:rsid w:val="00CB2983"/>
    <w:rsid w:val="00CB61A6"/>
    <w:rsid w:val="00CD62EB"/>
    <w:rsid w:val="00CE3101"/>
    <w:rsid w:val="00CE46CF"/>
    <w:rsid w:val="00CE62DC"/>
    <w:rsid w:val="00CF2FEA"/>
    <w:rsid w:val="00CF3062"/>
    <w:rsid w:val="00CF5EE6"/>
    <w:rsid w:val="00D04ADD"/>
    <w:rsid w:val="00D15CC4"/>
    <w:rsid w:val="00D454F4"/>
    <w:rsid w:val="00D4611A"/>
    <w:rsid w:val="00D4766F"/>
    <w:rsid w:val="00D47B58"/>
    <w:rsid w:val="00D5634E"/>
    <w:rsid w:val="00D61303"/>
    <w:rsid w:val="00D61608"/>
    <w:rsid w:val="00D64F29"/>
    <w:rsid w:val="00D72465"/>
    <w:rsid w:val="00D7456E"/>
    <w:rsid w:val="00D762FA"/>
    <w:rsid w:val="00D80A0F"/>
    <w:rsid w:val="00D92DC3"/>
    <w:rsid w:val="00D931BE"/>
    <w:rsid w:val="00DA6AE9"/>
    <w:rsid w:val="00DA7AA9"/>
    <w:rsid w:val="00DB137B"/>
    <w:rsid w:val="00DB1747"/>
    <w:rsid w:val="00DC04A3"/>
    <w:rsid w:val="00DC21F0"/>
    <w:rsid w:val="00DC68D5"/>
    <w:rsid w:val="00DD0FC7"/>
    <w:rsid w:val="00DD146A"/>
    <w:rsid w:val="00DD154E"/>
    <w:rsid w:val="00DE0D98"/>
    <w:rsid w:val="00DE1493"/>
    <w:rsid w:val="00DE35B2"/>
    <w:rsid w:val="00DF0EA5"/>
    <w:rsid w:val="00DF16BD"/>
    <w:rsid w:val="00DF194E"/>
    <w:rsid w:val="00DF252C"/>
    <w:rsid w:val="00DF394E"/>
    <w:rsid w:val="00E01D8D"/>
    <w:rsid w:val="00E03083"/>
    <w:rsid w:val="00E054C2"/>
    <w:rsid w:val="00E17E06"/>
    <w:rsid w:val="00E22905"/>
    <w:rsid w:val="00E2322D"/>
    <w:rsid w:val="00E25B5A"/>
    <w:rsid w:val="00E36F11"/>
    <w:rsid w:val="00E40183"/>
    <w:rsid w:val="00E43548"/>
    <w:rsid w:val="00E46564"/>
    <w:rsid w:val="00E465D0"/>
    <w:rsid w:val="00E479E0"/>
    <w:rsid w:val="00E52D63"/>
    <w:rsid w:val="00E607E7"/>
    <w:rsid w:val="00E61D9B"/>
    <w:rsid w:val="00E6597C"/>
    <w:rsid w:val="00E664D4"/>
    <w:rsid w:val="00E73849"/>
    <w:rsid w:val="00E84084"/>
    <w:rsid w:val="00E84677"/>
    <w:rsid w:val="00E8478A"/>
    <w:rsid w:val="00E90887"/>
    <w:rsid w:val="00E9428B"/>
    <w:rsid w:val="00E94A4B"/>
    <w:rsid w:val="00EA1E70"/>
    <w:rsid w:val="00EA7140"/>
    <w:rsid w:val="00EA761C"/>
    <w:rsid w:val="00EA79B4"/>
    <w:rsid w:val="00EB44FE"/>
    <w:rsid w:val="00EB55C7"/>
    <w:rsid w:val="00EB5A79"/>
    <w:rsid w:val="00EB6991"/>
    <w:rsid w:val="00EC63E9"/>
    <w:rsid w:val="00EE356B"/>
    <w:rsid w:val="00EE3639"/>
    <w:rsid w:val="00EF282E"/>
    <w:rsid w:val="00EF5A7B"/>
    <w:rsid w:val="00F030A1"/>
    <w:rsid w:val="00F1412A"/>
    <w:rsid w:val="00F15238"/>
    <w:rsid w:val="00F267B5"/>
    <w:rsid w:val="00F32001"/>
    <w:rsid w:val="00F42166"/>
    <w:rsid w:val="00F42827"/>
    <w:rsid w:val="00F45E0F"/>
    <w:rsid w:val="00F504BF"/>
    <w:rsid w:val="00F55BAD"/>
    <w:rsid w:val="00F57B27"/>
    <w:rsid w:val="00F606C8"/>
    <w:rsid w:val="00F60B5A"/>
    <w:rsid w:val="00F67A40"/>
    <w:rsid w:val="00F76956"/>
    <w:rsid w:val="00F849BA"/>
    <w:rsid w:val="00F926ED"/>
    <w:rsid w:val="00F932FC"/>
    <w:rsid w:val="00F94BDB"/>
    <w:rsid w:val="00F97048"/>
    <w:rsid w:val="00F979FF"/>
    <w:rsid w:val="00FA0F91"/>
    <w:rsid w:val="00FA58DD"/>
    <w:rsid w:val="00FB74E0"/>
    <w:rsid w:val="00FC05C8"/>
    <w:rsid w:val="00FC3E53"/>
    <w:rsid w:val="00FC7A90"/>
    <w:rsid w:val="00FD159B"/>
    <w:rsid w:val="00FD6BEC"/>
    <w:rsid w:val="00FD7964"/>
    <w:rsid w:val="00FE1400"/>
    <w:rsid w:val="00FE78DE"/>
    <w:rsid w:val="00FF1E0D"/>
    <w:rsid w:val="00FF56A3"/>
    <w:rsid w:val="00FF68C5"/>
    <w:rsid w:val="02E856A8"/>
    <w:rsid w:val="2A1FF4B0"/>
    <w:rsid w:val="2E8D5F93"/>
    <w:rsid w:val="33EEECB6"/>
    <w:rsid w:val="5B2F2C29"/>
    <w:rsid w:val="686681E6"/>
    <w:rsid w:val="6BAE94E2"/>
    <w:rsid w:val="7A03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94527"/>
  <w15:chartTrackingRefBased/>
  <w15:docId w15:val="{E4AB073C-6336-4B0E-B515-A3FA4082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4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4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4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A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A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A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A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A4B"/>
    <w:rPr>
      <w:rFonts w:eastAsiaTheme="majorEastAsia" w:cstheme="majorBidi"/>
      <w:color w:val="272727" w:themeColor="text1" w:themeTint="D8"/>
    </w:rPr>
  </w:style>
  <w:style w:type="paragraph" w:styleId="Title">
    <w:name w:val="Title"/>
    <w:basedOn w:val="Normal"/>
    <w:next w:val="Normal"/>
    <w:link w:val="TitleChar"/>
    <w:uiPriority w:val="10"/>
    <w:qFormat/>
    <w:rsid w:val="00E94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A4B"/>
    <w:pPr>
      <w:spacing w:before="160"/>
      <w:jc w:val="center"/>
    </w:pPr>
    <w:rPr>
      <w:i/>
      <w:iCs/>
      <w:color w:val="404040" w:themeColor="text1" w:themeTint="BF"/>
    </w:rPr>
  </w:style>
  <w:style w:type="character" w:customStyle="1" w:styleId="QuoteChar">
    <w:name w:val="Quote Char"/>
    <w:basedOn w:val="DefaultParagraphFont"/>
    <w:link w:val="Quote"/>
    <w:uiPriority w:val="29"/>
    <w:rsid w:val="00E94A4B"/>
    <w:rPr>
      <w:i/>
      <w:iCs/>
      <w:color w:val="404040" w:themeColor="text1" w:themeTint="BF"/>
    </w:rPr>
  </w:style>
  <w:style w:type="paragraph" w:styleId="ListParagraph">
    <w:name w:val="List Paragraph"/>
    <w:basedOn w:val="Normal"/>
    <w:uiPriority w:val="34"/>
    <w:qFormat/>
    <w:rsid w:val="00E94A4B"/>
    <w:pPr>
      <w:ind w:left="720"/>
      <w:contextualSpacing/>
    </w:pPr>
  </w:style>
  <w:style w:type="character" w:styleId="IntenseEmphasis">
    <w:name w:val="Intense Emphasis"/>
    <w:basedOn w:val="DefaultParagraphFont"/>
    <w:uiPriority w:val="21"/>
    <w:qFormat/>
    <w:rsid w:val="00E94A4B"/>
    <w:rPr>
      <w:i/>
      <w:iCs/>
      <w:color w:val="2F5496" w:themeColor="accent1" w:themeShade="BF"/>
    </w:rPr>
  </w:style>
  <w:style w:type="paragraph" w:styleId="IntenseQuote">
    <w:name w:val="Intense Quote"/>
    <w:basedOn w:val="Normal"/>
    <w:next w:val="Normal"/>
    <w:link w:val="IntenseQuoteChar"/>
    <w:uiPriority w:val="30"/>
    <w:qFormat/>
    <w:rsid w:val="00E94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4A4B"/>
    <w:rPr>
      <w:i/>
      <w:iCs/>
      <w:color w:val="2F5496" w:themeColor="accent1" w:themeShade="BF"/>
    </w:rPr>
  </w:style>
  <w:style w:type="character" w:styleId="IntenseReference">
    <w:name w:val="Intense Reference"/>
    <w:basedOn w:val="DefaultParagraphFont"/>
    <w:uiPriority w:val="32"/>
    <w:qFormat/>
    <w:rsid w:val="00E94A4B"/>
    <w:rPr>
      <w:b/>
      <w:bCs/>
      <w:smallCaps/>
      <w:color w:val="2F5496" w:themeColor="accent1" w:themeShade="BF"/>
      <w:spacing w:val="5"/>
    </w:rPr>
  </w:style>
  <w:style w:type="paragraph" w:styleId="Revision">
    <w:name w:val="Revision"/>
    <w:hidden/>
    <w:uiPriority w:val="99"/>
    <w:semiHidden/>
    <w:rsid w:val="00B37722"/>
    <w:pPr>
      <w:spacing w:after="0" w:line="240" w:lineRule="auto"/>
    </w:pPr>
  </w:style>
  <w:style w:type="character" w:styleId="CommentReference">
    <w:name w:val="annotation reference"/>
    <w:basedOn w:val="DefaultParagraphFont"/>
    <w:uiPriority w:val="99"/>
    <w:semiHidden/>
    <w:unhideWhenUsed/>
    <w:rsid w:val="001863C7"/>
    <w:rPr>
      <w:sz w:val="16"/>
      <w:szCs w:val="16"/>
    </w:rPr>
  </w:style>
  <w:style w:type="paragraph" w:styleId="CommentText">
    <w:name w:val="annotation text"/>
    <w:basedOn w:val="Normal"/>
    <w:link w:val="CommentTextChar"/>
    <w:uiPriority w:val="99"/>
    <w:unhideWhenUsed/>
    <w:rsid w:val="001863C7"/>
    <w:pPr>
      <w:spacing w:line="240" w:lineRule="auto"/>
    </w:pPr>
    <w:rPr>
      <w:sz w:val="20"/>
      <w:szCs w:val="20"/>
    </w:rPr>
  </w:style>
  <w:style w:type="character" w:customStyle="1" w:styleId="CommentTextChar">
    <w:name w:val="Comment Text Char"/>
    <w:basedOn w:val="DefaultParagraphFont"/>
    <w:link w:val="CommentText"/>
    <w:uiPriority w:val="99"/>
    <w:rsid w:val="001863C7"/>
    <w:rPr>
      <w:sz w:val="20"/>
      <w:szCs w:val="20"/>
    </w:rPr>
  </w:style>
  <w:style w:type="paragraph" w:styleId="CommentSubject">
    <w:name w:val="annotation subject"/>
    <w:basedOn w:val="CommentText"/>
    <w:next w:val="CommentText"/>
    <w:link w:val="CommentSubjectChar"/>
    <w:uiPriority w:val="99"/>
    <w:semiHidden/>
    <w:unhideWhenUsed/>
    <w:rsid w:val="001863C7"/>
    <w:rPr>
      <w:b/>
      <w:bCs/>
    </w:rPr>
  </w:style>
  <w:style w:type="character" w:customStyle="1" w:styleId="CommentSubjectChar">
    <w:name w:val="Comment Subject Char"/>
    <w:basedOn w:val="CommentTextChar"/>
    <w:link w:val="CommentSubject"/>
    <w:uiPriority w:val="99"/>
    <w:semiHidden/>
    <w:rsid w:val="001863C7"/>
    <w:rPr>
      <w:b/>
      <w:bCs/>
      <w:sz w:val="20"/>
      <w:szCs w:val="20"/>
    </w:rPr>
  </w:style>
  <w:style w:type="character" w:styleId="Hyperlink">
    <w:name w:val="Hyperlink"/>
    <w:basedOn w:val="DefaultParagraphFont"/>
    <w:uiPriority w:val="99"/>
    <w:unhideWhenUsed/>
    <w:rsid w:val="00DE0D98"/>
    <w:rPr>
      <w:color w:val="0563C1" w:themeColor="hyperlink"/>
      <w:u w:val="single"/>
    </w:rPr>
  </w:style>
  <w:style w:type="character" w:styleId="UnresolvedMention">
    <w:name w:val="Unresolved Mention"/>
    <w:basedOn w:val="DefaultParagraphFont"/>
    <w:uiPriority w:val="99"/>
    <w:semiHidden/>
    <w:unhideWhenUsed/>
    <w:rsid w:val="00DE0D98"/>
    <w:rPr>
      <w:color w:val="605E5C"/>
      <w:shd w:val="clear" w:color="auto" w:fill="E1DFDD"/>
    </w:rPr>
  </w:style>
  <w:style w:type="table" w:styleId="TableGrid">
    <w:name w:val="Table Grid"/>
    <w:basedOn w:val="TableNormal"/>
    <w:uiPriority w:val="39"/>
    <w:rsid w:val="004F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1659"/>
    <w:rPr>
      <w:color w:val="954F72" w:themeColor="followedHyperlink"/>
      <w:u w:val="single"/>
    </w:rPr>
  </w:style>
  <w:style w:type="paragraph" w:styleId="Header">
    <w:name w:val="header"/>
    <w:basedOn w:val="Normal"/>
    <w:link w:val="HeaderChar"/>
    <w:uiPriority w:val="99"/>
    <w:unhideWhenUsed/>
    <w:rsid w:val="00594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EBE"/>
  </w:style>
  <w:style w:type="paragraph" w:styleId="Footer">
    <w:name w:val="footer"/>
    <w:basedOn w:val="Normal"/>
    <w:link w:val="FooterChar"/>
    <w:uiPriority w:val="99"/>
    <w:unhideWhenUsed/>
    <w:rsid w:val="00594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EBE"/>
  </w:style>
  <w:style w:type="paragraph" w:styleId="BalloonText">
    <w:name w:val="Balloon Text"/>
    <w:basedOn w:val="Normal"/>
    <w:link w:val="BalloonTextChar"/>
    <w:uiPriority w:val="99"/>
    <w:semiHidden/>
    <w:unhideWhenUsed/>
    <w:rsid w:val="00C22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AB5"/>
    <w:rPr>
      <w:rFonts w:ascii="Segoe UI" w:hAnsi="Segoe UI" w:cs="Segoe UI"/>
      <w:sz w:val="18"/>
      <w:szCs w:val="18"/>
    </w:rPr>
  </w:style>
  <w:style w:type="paragraph" w:styleId="FootnoteText">
    <w:name w:val="footnote text"/>
    <w:basedOn w:val="Normal"/>
    <w:link w:val="FootnoteTextChar"/>
    <w:uiPriority w:val="99"/>
    <w:semiHidden/>
    <w:unhideWhenUsed/>
    <w:rsid w:val="00947A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A54"/>
    <w:rPr>
      <w:sz w:val="20"/>
      <w:szCs w:val="20"/>
    </w:rPr>
  </w:style>
  <w:style w:type="character" w:styleId="FootnoteReference">
    <w:name w:val="footnote reference"/>
    <w:basedOn w:val="DefaultParagraphFont"/>
    <w:uiPriority w:val="99"/>
    <w:semiHidden/>
    <w:unhideWhenUsed/>
    <w:rsid w:val="00947A54"/>
    <w:rPr>
      <w:vertAlign w:val="superscript"/>
    </w:rPr>
  </w:style>
  <w:style w:type="paragraph" w:styleId="NormalWeb">
    <w:name w:val="Normal (Web)"/>
    <w:basedOn w:val="Normal"/>
    <w:uiPriority w:val="99"/>
    <w:semiHidden/>
    <w:unhideWhenUsed/>
    <w:rsid w:val="004A70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5928">
      <w:bodyDiv w:val="1"/>
      <w:marLeft w:val="0"/>
      <w:marRight w:val="0"/>
      <w:marTop w:val="0"/>
      <w:marBottom w:val="0"/>
      <w:divBdr>
        <w:top w:val="none" w:sz="0" w:space="0" w:color="auto"/>
        <w:left w:val="none" w:sz="0" w:space="0" w:color="auto"/>
        <w:bottom w:val="none" w:sz="0" w:space="0" w:color="auto"/>
        <w:right w:val="none" w:sz="0" w:space="0" w:color="auto"/>
      </w:divBdr>
    </w:div>
    <w:div w:id="233585118">
      <w:bodyDiv w:val="1"/>
      <w:marLeft w:val="0"/>
      <w:marRight w:val="0"/>
      <w:marTop w:val="0"/>
      <w:marBottom w:val="0"/>
      <w:divBdr>
        <w:top w:val="none" w:sz="0" w:space="0" w:color="auto"/>
        <w:left w:val="none" w:sz="0" w:space="0" w:color="auto"/>
        <w:bottom w:val="none" w:sz="0" w:space="0" w:color="auto"/>
        <w:right w:val="none" w:sz="0" w:space="0" w:color="auto"/>
      </w:divBdr>
    </w:div>
    <w:div w:id="911892113">
      <w:bodyDiv w:val="1"/>
      <w:marLeft w:val="0"/>
      <w:marRight w:val="0"/>
      <w:marTop w:val="0"/>
      <w:marBottom w:val="0"/>
      <w:divBdr>
        <w:top w:val="none" w:sz="0" w:space="0" w:color="auto"/>
        <w:left w:val="none" w:sz="0" w:space="0" w:color="auto"/>
        <w:bottom w:val="none" w:sz="0" w:space="0" w:color="auto"/>
        <w:right w:val="none" w:sz="0" w:space="0" w:color="auto"/>
      </w:divBdr>
    </w:div>
    <w:div w:id="1290089839">
      <w:bodyDiv w:val="1"/>
      <w:marLeft w:val="0"/>
      <w:marRight w:val="0"/>
      <w:marTop w:val="0"/>
      <w:marBottom w:val="0"/>
      <w:divBdr>
        <w:top w:val="none" w:sz="0" w:space="0" w:color="auto"/>
        <w:left w:val="none" w:sz="0" w:space="0" w:color="auto"/>
        <w:bottom w:val="none" w:sz="0" w:space="0" w:color="auto"/>
        <w:right w:val="none" w:sz="0" w:space="0" w:color="auto"/>
      </w:divBdr>
    </w:div>
    <w:div w:id="1317370386">
      <w:bodyDiv w:val="1"/>
      <w:marLeft w:val="0"/>
      <w:marRight w:val="0"/>
      <w:marTop w:val="0"/>
      <w:marBottom w:val="0"/>
      <w:divBdr>
        <w:top w:val="none" w:sz="0" w:space="0" w:color="auto"/>
        <w:left w:val="none" w:sz="0" w:space="0" w:color="auto"/>
        <w:bottom w:val="none" w:sz="0" w:space="0" w:color="auto"/>
        <w:right w:val="none" w:sz="0" w:space="0" w:color="auto"/>
      </w:divBdr>
    </w:div>
    <w:div w:id="1323968442">
      <w:bodyDiv w:val="1"/>
      <w:marLeft w:val="0"/>
      <w:marRight w:val="0"/>
      <w:marTop w:val="0"/>
      <w:marBottom w:val="0"/>
      <w:divBdr>
        <w:top w:val="none" w:sz="0" w:space="0" w:color="auto"/>
        <w:left w:val="none" w:sz="0" w:space="0" w:color="auto"/>
        <w:bottom w:val="none" w:sz="0" w:space="0" w:color="auto"/>
        <w:right w:val="none" w:sz="0" w:space="0" w:color="auto"/>
      </w:divBdr>
    </w:div>
    <w:div w:id="1455640669">
      <w:bodyDiv w:val="1"/>
      <w:marLeft w:val="0"/>
      <w:marRight w:val="0"/>
      <w:marTop w:val="0"/>
      <w:marBottom w:val="0"/>
      <w:divBdr>
        <w:top w:val="none" w:sz="0" w:space="0" w:color="auto"/>
        <w:left w:val="none" w:sz="0" w:space="0" w:color="auto"/>
        <w:bottom w:val="none" w:sz="0" w:space="0" w:color="auto"/>
        <w:right w:val="none" w:sz="0" w:space="0" w:color="auto"/>
      </w:divBdr>
    </w:div>
    <w:div w:id="1724133167">
      <w:bodyDiv w:val="1"/>
      <w:marLeft w:val="0"/>
      <w:marRight w:val="0"/>
      <w:marTop w:val="0"/>
      <w:marBottom w:val="0"/>
      <w:divBdr>
        <w:top w:val="none" w:sz="0" w:space="0" w:color="auto"/>
        <w:left w:val="none" w:sz="0" w:space="0" w:color="auto"/>
        <w:bottom w:val="none" w:sz="0" w:space="0" w:color="auto"/>
        <w:right w:val="none" w:sz="0" w:space="0" w:color="auto"/>
      </w:divBdr>
    </w:div>
    <w:div w:id="1875652805">
      <w:bodyDiv w:val="1"/>
      <w:marLeft w:val="0"/>
      <w:marRight w:val="0"/>
      <w:marTop w:val="0"/>
      <w:marBottom w:val="0"/>
      <w:divBdr>
        <w:top w:val="none" w:sz="0" w:space="0" w:color="auto"/>
        <w:left w:val="none" w:sz="0" w:space="0" w:color="auto"/>
        <w:bottom w:val="none" w:sz="0" w:space="0" w:color="auto"/>
        <w:right w:val="none" w:sz="0" w:space="0" w:color="auto"/>
      </w:divBdr>
    </w:div>
    <w:div w:id="1959532063">
      <w:bodyDiv w:val="1"/>
      <w:marLeft w:val="0"/>
      <w:marRight w:val="0"/>
      <w:marTop w:val="0"/>
      <w:marBottom w:val="0"/>
      <w:divBdr>
        <w:top w:val="none" w:sz="0" w:space="0" w:color="auto"/>
        <w:left w:val="none" w:sz="0" w:space="0" w:color="auto"/>
        <w:bottom w:val="none" w:sz="0" w:space="0" w:color="auto"/>
        <w:right w:val="none" w:sz="0" w:space="0" w:color="auto"/>
      </w:divBdr>
    </w:div>
    <w:div w:id="2002614222">
      <w:bodyDiv w:val="1"/>
      <w:marLeft w:val="0"/>
      <w:marRight w:val="0"/>
      <w:marTop w:val="0"/>
      <w:marBottom w:val="0"/>
      <w:divBdr>
        <w:top w:val="none" w:sz="0" w:space="0" w:color="auto"/>
        <w:left w:val="none" w:sz="0" w:space="0" w:color="auto"/>
        <w:bottom w:val="none" w:sz="0" w:space="0" w:color="auto"/>
        <w:right w:val="none" w:sz="0" w:space="0" w:color="auto"/>
      </w:divBdr>
    </w:div>
    <w:div w:id="201765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mmunity-benefits-and-shared-ownership-for-low-carbon-energy-infrastructure" TargetMode="External"/><Relationship Id="rId18" Type="http://schemas.openxmlformats.org/officeDocument/2006/relationships/hyperlink" Target="https://www.sciencedirect.com/science/article/pii/S221462962400482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contracts-for-difference-cfd-allocation-round-7-clean-industry-bonus-framework-and-guidance" TargetMode="External"/><Relationship Id="rId7" Type="http://schemas.openxmlformats.org/officeDocument/2006/relationships/settings" Target="settings.xml"/><Relationship Id="rId12" Type="http://schemas.openxmlformats.org/officeDocument/2006/relationships/hyperlink" Target="https://researchbriefings.files.parliament.uk/documents/CDP-2024-0127/CDP-2024-0127.pdf" TargetMode="External"/><Relationship Id="rId17" Type="http://schemas.openxmlformats.org/officeDocument/2006/relationships/hyperlink" Target="https://www.scottishrenewables.com/assets/000/004/710/SUPPLY_CHAIN_IMPACT_2024-25_Web_original.pdf?174600790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ciencedirect.com/science/article/abs/pii/S0301421509000093" TargetMode="External"/><Relationship Id="rId20" Type="http://schemas.openxmlformats.org/officeDocument/2006/relationships/hyperlink" Target="https://www.mygov.scot/non-domestic-rates-relief/renewable-ener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mmunity-benefits-and-shared-ownership-for-low-carbon-energy-infrastructure" TargetMode="External"/><Relationship Id="rId24" Type="http://schemas.openxmlformats.org/officeDocument/2006/relationships/hyperlink" Target="mailto:xxx@xxxx.xxx" TargetMode="External"/><Relationship Id="rId5" Type="http://schemas.openxmlformats.org/officeDocument/2006/relationships/numbering" Target="numbering.xml"/><Relationship Id="rId15" Type="http://schemas.openxmlformats.org/officeDocument/2006/relationships/hyperlink" Target="https://www.common-wealth.org/publications/the-public-is-enthusiastic-for-community-energy" TargetMode="External"/><Relationship Id="rId23" Type="http://schemas.openxmlformats.org/officeDocument/2006/relationships/hyperlink" Target="mailto:zoe.holliday@communityenergy.scot" TargetMode="External"/><Relationship Id="rId10" Type="http://schemas.openxmlformats.org/officeDocument/2006/relationships/endnotes" Target="endnotes.xml"/><Relationship Id="rId19" Type="http://schemas.openxmlformats.org/officeDocument/2006/relationships/hyperlink" Target="https://www.nordicpolicycentre.org.au/community_owned_wind_lessons_from_denm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briefings.files.parliament.uk/documents/CDP-2024-0127/CDP-2024-0127.pdf" TargetMode="External"/><Relationship Id="rId22" Type="http://schemas.openxmlformats.org/officeDocument/2006/relationships/hyperlink" Target="https://www.sciencedirect.com/science/article/pii/S2214629624001968"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BD2F2269D014EAE7FA37D18B3036F" ma:contentTypeVersion="12" ma:contentTypeDescription="Create a new document." ma:contentTypeScope="" ma:versionID="db6c2a251a8c25c1b28c83ec1ca4d1c6">
  <xsd:schema xmlns:xsd="http://www.w3.org/2001/XMLSchema" xmlns:xs="http://www.w3.org/2001/XMLSchema" xmlns:p="http://schemas.microsoft.com/office/2006/metadata/properties" xmlns:ns2="2986c65a-adf9-4abe-bf6a-06506e1d65de" xmlns:ns3="f2522b7d-3628-402b-8f59-bc00bc6f245e" targetNamespace="http://schemas.microsoft.com/office/2006/metadata/properties" ma:root="true" ma:fieldsID="89ec5326c57becc6e355cc7491828703" ns2:_="" ns3:_="">
    <xsd:import namespace="2986c65a-adf9-4abe-bf6a-06506e1d65de"/>
    <xsd:import namespace="f2522b7d-3628-402b-8f59-bc00bc6f2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6c65a-adf9-4abe-bf6a-06506e1d6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8c68ea-9d3e-4f0c-8c98-c4caa7c97d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22b7d-3628-402b-8f59-bc00bc6f2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9c36d6-e79d-4385-8caf-507e2d7ebe68}" ma:internalName="TaxCatchAll" ma:showField="CatchAllData" ma:web="f2522b7d-3628-402b-8f59-bc00bc6f2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86c65a-adf9-4abe-bf6a-06506e1d65de">
      <Terms xmlns="http://schemas.microsoft.com/office/infopath/2007/PartnerControls"/>
    </lcf76f155ced4ddcb4097134ff3c332f>
    <TaxCatchAll xmlns="f2522b7d-3628-402b-8f59-bc00bc6f245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C9CAE-D9D9-4BEE-B254-D012387816F8}">
  <ds:schemaRefs>
    <ds:schemaRef ds:uri="http://schemas.microsoft.com/sharepoint/v3/contenttype/forms"/>
  </ds:schemaRefs>
</ds:datastoreItem>
</file>

<file path=customXml/itemProps2.xml><?xml version="1.0" encoding="utf-8"?>
<ds:datastoreItem xmlns:ds="http://schemas.openxmlformats.org/officeDocument/2006/customXml" ds:itemID="{A66B41C8-66DA-4FD3-9275-81FBE6A70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6c65a-adf9-4abe-bf6a-06506e1d65de"/>
    <ds:schemaRef ds:uri="f2522b7d-3628-402b-8f59-bc00bc6f2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20DC4-E217-4547-BC2F-346683242629}">
  <ds:schemaRefs>
    <ds:schemaRef ds:uri="f2522b7d-3628-402b-8f59-bc00bc6f245e"/>
    <ds:schemaRef ds:uri="http://purl.org/dc/elements/1.1/"/>
    <ds:schemaRef ds:uri="http://schemas.openxmlformats.org/package/2006/metadata/core-properties"/>
    <ds:schemaRef ds:uri="http://www.w3.org/XML/1998/namespace"/>
    <ds:schemaRef ds:uri="2986c65a-adf9-4abe-bf6a-06506e1d65d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E1A1181-8D00-4089-8F99-B69B8046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Holliday</dc:creator>
  <cp:keywords/>
  <dc:description/>
  <cp:lastModifiedBy>Amanda Grimm</cp:lastModifiedBy>
  <cp:revision>2</cp:revision>
  <cp:lastPrinted>2025-04-03T17:26:00Z</cp:lastPrinted>
  <dcterms:created xsi:type="dcterms:W3CDTF">2025-05-28T18:04:00Z</dcterms:created>
  <dcterms:modified xsi:type="dcterms:W3CDTF">2025-06-23T09:43:00Z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0x0101007F1BD2F2269D014EAE7FA37D18B3036F</vt:lpwstr>
  </property>
  <property fmtid="{D5CDD505-2E9C-101B-9397-08002B2CF9AE}" pid="3" name="MediaServiceImageTags">
    <vt:lpwstr/>
  </property>
</Properties>
</file>